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spacing w:after="120"/>
      </w:pPr>
      <w:r>
        <w:rPr>
          <w:rFonts w:ascii="Helvetica Neue" w:hAnsi="Helvetica Neue" w:cs="Helvetica Neue"/>
          <w:b/>
          <w:color w:val="050508"/>
          <w:sz w:val="48"/>
        </w:rPr>
        <w:t>Sharpen Data Dictionary</w:t>
      </w:r>
    </w:p>
    <w:p>
      <w:pPr>
        <w:spacing w:after="200"/>
      </w:pPr>
      <w:r>
        <w:rPr>
          <w:rFonts w:ascii="Helvetica Neue" w:hAnsi="Helvetica Neue" w:cs="Helvetica Neue"/>
          <w:color w:val="050508"/>
          <w:sz w:val="28"/>
        </w:rPr>
        <w:t>Queue Interaction and Segment Tables</w:t>
      </w:r>
    </w:p>
    <w:p>
      <w:r>
        <w:rPr>
          <w:rFonts w:ascii="Consolas" w:hAnsi="Consolas" w:cs="Consolas"/>
          <w:sz w:val="20"/>
        </w:rPr>
        <w:t>fathomvoice.fathomQueues.queueCDR   •   fathomvoice.fathomQueues.queueCDRLegs</w:t>
      </w:r>
    </w:p>
    <w:p>
      <w:r>
        <w:br w:type="page"/>
      </w:r>
    </w:p>
    <w:p>
      <w:pPr>
        <w:pStyle w:val="Heading1"/>
        <w:pBdr>
          <w:bottom w:val="single" w:sz="8" w:space="4" w:color="BAC0CE"/>
        </w:pBdr>
      </w:pPr>
      <w:r>
        <w:rPr>
          <w:rFonts w:ascii="Helvetica Neue" w:hAnsi="Helvetica Neue" w:cs="Helvetica Neue"/>
          <w:color w:val="050508"/>
        </w:rPr>
        <w:t>1.  About this document</w:t>
      </w:r>
    </w:p>
    <w:p>
      <w:pPr>
        <w:spacing w:after="120"/>
      </w:pPr>
      <w:r>
        <w:rPr>
          <w:b w:val="0"/>
          <w:i w:val="0"/>
          <w:sz w:val="20"/>
        </w:rPr>
        <w:t>This dictionary describes the two tables that hold Sharpen interaction (call log) records, the calculated fields available on them, and the companion tables commonly joined to them through the Query API.</w:t>
      </w:r>
    </w:p>
    <w:p>
      <w:pPr>
        <w:spacing w:after="120"/>
      </w:pPr>
      <w:r>
        <w:rPr>
          <w:b w:val="0"/>
          <w:i w:val="0"/>
          <w:sz w:val="20"/>
        </w:rPr>
        <w:t>The Insights label column gives the name the field appears under in the Sharpen reporting interface. Where this column is blank, the field is available through the Query API but is not surfaced as a named reporting field in Insights.</w:t>
      </w:r>
    </w:p>
    <w:p>
      <w:pPr>
        <w:spacing w:after="60"/>
      </w:pPr>
      <w:r>
        <w:rPr>
          <w:b/>
          <w:i w:val="0"/>
          <w:sz w:val="20"/>
        </w:rPr>
        <w:t>Two conventions apply throughout:</w:t>
      </w:r>
    </w:p>
    <w:p>
      <w:pPr>
        <w:pStyle w:val="ListBullet"/>
        <w:spacing w:after="80"/>
      </w:pPr>
      <w:r>
        <w:rPr>
          <w:sz w:val="19"/>
        </w:rPr>
        <w:t>All timestamps are stored and returned in UTC. They are not converted to the account’s local time zone. Convert on read, for example, CONVERT_TZ(endTime, 'UTC', 'US/Eastern').</w:t>
      </w:r>
    </w:p>
    <w:p>
      <w:pPr>
        <w:pStyle w:val="ListBullet"/>
        <w:spacing w:after="80"/>
      </w:pPr>
      <w:r>
        <w:rPr>
          <w:sz w:val="19"/>
        </w:rPr>
        <w:t>All duration fields are whole seconds, stored as integers.</w:t>
      </w:r>
    </w:p>
    <w:p/>
    <w:p>
      <w:pPr>
        <w:pStyle w:val="Heading1"/>
        <w:pBdr>
          <w:bottom w:val="single" w:sz="8" w:space="4" w:color="BAC0CE"/>
        </w:pBdr>
      </w:pPr>
      <w:r>
        <w:rPr>
          <w:rFonts w:ascii="Helvetica Neue" w:hAnsi="Helvetica Neue" w:cs="Helvetica Neue"/>
          <w:color w:val="050508"/>
        </w:rPr>
        <w:t>2.  The two tables</w:t>
      </w:r>
    </w:p>
    <w:p>
      <w:pPr>
        <w:spacing w:after="40"/>
      </w:pPr>
      <w:r>
        <w:rPr>
          <w:b/>
          <w:i w:val="0"/>
          <w:sz w:val="20"/>
        </w:rPr>
        <w:t>queueCDR: one row per interaction.</w:t>
      </w:r>
    </w:p>
    <w:p>
      <w:pPr>
        <w:spacing w:after="160"/>
      </w:pPr>
      <w:r>
        <w:rPr>
          <w:b w:val="0"/>
          <w:i w:val="0"/>
          <w:sz w:val="20"/>
        </w:rPr>
        <w:t>The interaction-level record. One row summarizes an entire interaction from the moment it entered a queue to the moment it disconnected. Presented in Insights as the Queue Activity data source.</w:t>
      </w:r>
    </w:p>
    <w:p>
      <w:pPr>
        <w:spacing w:after="40"/>
      </w:pPr>
      <w:r>
        <w:rPr>
          <w:b/>
          <w:i w:val="0"/>
          <w:sz w:val="20"/>
        </w:rPr>
        <w:t>queueCDRLegs: one row per segment.</w:t>
      </w:r>
    </w:p>
    <w:p>
      <w:pPr>
        <w:spacing w:after="160"/>
      </w:pPr>
      <w:r>
        <w:rPr>
          <w:b w:val="0"/>
          <w:i w:val="0"/>
          <w:sz w:val="20"/>
        </w:rPr>
        <w:t>The segment-level record. An interaction is divided into segments, and a new segment is created as the interaction moves between destinations, for example, when it is transferred or re-queued. A straightforward call answered by a single agent has one segment. Presented in Insights as the Queue Segment Activity data source and the recommended source for most reporting, because transfer and interaction-switching detail exists only at this level.</w:t>
      </w:r>
    </w:p>
    <w:p>
      <w:pPr>
        <w:spacing w:after="120"/>
      </w:pPr>
      <w:r>
        <w:rPr>
          <w:b/>
          <w:i w:val="0"/>
          <w:sz w:val="20"/>
        </w:rPr>
        <w:t>The two tables join on queueCallManagerID, which identifies the interaction.</w:t>
      </w:r>
    </w:p>
    <w:tbl>
      <w:tblPr>
        <w:tblW w:type="dxa" w:w="9360"/>
        <w:jc w:val="left"/>
        <w:tblBorders>
          <w:top w:val="single" w:sz="4" w:space="0" w:color="BAC0CE"/>
          <w:left w:val="single" w:sz="4" w:space="0" w:color="BAC0CE"/>
          <w:bottom w:val="single" w:sz="4" w:space="0" w:color="BAC0CE"/>
          <w:right w:val="single" w:sz="4" w:space="0" w:color="BAC0CE"/>
          <w:insideH w:val="single" w:sz="4" w:space="0" w:color="BAC0CE"/>
          <w:insideV w:val="single" w:sz="4" w:space="0" w:color="BAC0CE"/>
        </w:tblBorders>
        <w:tblLayout w:type="fixed"/>
        <w:tblLook w:firstColumn="1" w:firstRow="1" w:lastColumn="0" w:lastRow="0" w:noHBand="0" w:noVBand="1" w:val="04A0"/>
      </w:tblPr>
      <w:tblGrid>
        <w:gridCol w:w="9360"/>
      </w:tblGrid>
      <w:tr>
        <w:trPr>
          <w:cantSplit/>
        </w:trPr>
        <w:tc>
          <w:tcPr>
            <w:tcW w:type="dxa" w:w="9360"/>
            <w:shd w:val="clear" w:fill="F7F8F2"/>
          </w:tcPr>
          <w:p>
            <w:r>
              <w:rPr>
                <w:sz w:val="19"/>
              </w:rPr>
              <w:t>Grain warning. Because one interaction can have many segments, joining queueCDR to queueCDRLegs multiplies the interaction rows, and every interaction-level value repeats once per segment. Summing an interaction-level column such as talkTime across a joined result will overcount it. Either aggregate the segment side using SUM with GROUP BY queueCallManagerID, or query the two tables separately.</w:t>
            </w:r>
          </w:p>
        </w:tc>
      </w:tr>
    </w:tbl>
    <w:p/>
    <w:p>
      <w:pPr>
        <w:pStyle w:val="Heading1"/>
        <w:pBdr>
          <w:bottom w:val="single" w:sz="8" w:space="4" w:color="BAC0CE"/>
        </w:pBdr>
      </w:pPr>
      <w:r>
        <w:rPr>
          <w:rFonts w:ascii="Helvetica Neue" w:hAnsi="Helvetica Neue" w:cs="Helvetica Neue"/>
          <w:color w:val="050508"/>
        </w:rPr>
        <w:t>3.  Key points before building reports</w:t>
      </w:r>
    </w:p>
    <w:p>
      <w:pPr>
        <w:spacing w:after="120"/>
      </w:pPr>
      <w:r>
        <w:rPr>
          <w:b w:val="0"/>
          <w:i/>
          <w:sz w:val="19"/>
        </w:rPr>
        <w:t>These are the behaviors most likely to cause two people to produce different figures from the same data.</w:t>
      </w:r>
    </w:p>
    <w:p>
      <w:pPr>
        <w:spacing w:after="20"/>
      </w:pPr>
      <w:r>
        <w:rPr>
          <w:b/>
          <w:sz w:val="20"/>
        </w:rPr>
        <w:t>queueCDR.holdTime contains queue wait time, not hold time.</w:t>
      </w:r>
    </w:p>
    <w:p>
      <w:pPr>
        <w:spacing w:after="140"/>
        <w:ind w:left="360"/>
      </w:pPr>
      <w:r>
        <w:rPr>
          <w:sz w:val="19"/>
        </w:rPr>
        <w:t>Despite the “Hold Time” label, this column holds the time the customer waited in queue before an agent answered. It is equal to the sum of the segment wait times, and startTime plus holdTime gives the moment the interaction was answered. For agent-initiated hold time, use agentHoldTime.</w:t>
      </w:r>
    </w:p>
    <w:p>
      <w:pPr>
        <w:spacing w:after="20"/>
      </w:pPr>
      <w:r>
        <w:rPr>
          <w:b/>
          <w:sz w:val="20"/>
        </w:rPr>
        <w:t>Transfer Count Segments counts segments, not transfers.</w:t>
      </w:r>
    </w:p>
    <w:p>
      <w:pPr>
        <w:spacing w:after="140"/>
        <w:ind w:left="360"/>
      </w:pPr>
      <w:r>
        <w:rPr>
          <w:sz w:val="19"/>
        </w:rPr>
        <w:t>The field is calculated as a count of segment IDs, so a straightforward untransferred interaction returns 1. To count actual transfers, use SUM(queueCDRLegs.transfer).</w:t>
      </w:r>
    </w:p>
    <w:p>
      <w:pPr>
        <w:spacing w:after="20"/>
      </w:pPr>
      <w:r>
        <w:rPr>
          <w:b/>
          <w:sz w:val="20"/>
        </w:rPr>
        <w:t>transferType values are truncated to ten characters.</w:t>
      </w:r>
    </w:p>
    <w:p>
      <w:pPr>
        <w:spacing w:after="140"/>
        <w:ind w:left="360"/>
      </w:pPr>
      <w:r>
        <w:rPr>
          <w:sz w:val="19"/>
        </w:rPr>
        <w:t>The column is varchar(10), so longer internal names are stored cut short. exitNoAgen is the stored form of the “exit no agents” condition. Match on the truncated value, never on a full-length name.</w:t>
      </w:r>
    </w:p>
    <w:p>
      <w:pPr>
        <w:spacing w:after="20"/>
      </w:pPr>
      <w:r>
        <w:rPr>
          <w:b/>
          <w:sz w:val="20"/>
        </w:rPr>
        <w:t>The joined AI tables use interactionId to mean something different.</w:t>
      </w:r>
    </w:p>
    <w:p>
      <w:pPr>
        <w:spacing w:after="140"/>
        <w:ind w:left="360"/>
      </w:pPr>
      <w:r>
        <w:rPr>
          <w:sz w:val="19"/>
        </w:rPr>
        <w:t>queueCDR.interactionId joins to the Logic+ detail record. The interactionId column in the reporting sentiment and summary tables holds the Queue Call Manager ID instead, and those tables are joined on queueCDR.queueCallManagerID. Joining on the wrong one silently returns no rows.</w:t>
      </w:r>
    </w:p>
    <w:p>
      <w:pPr>
        <w:spacing w:after="20"/>
      </w:pPr>
      <w:r>
        <w:rPr>
          <w:b/>
          <w:sz w:val="20"/>
        </w:rPr>
        <w:t>Abandoned interactions still produce a segment row.</w:t>
      </w:r>
    </w:p>
    <w:p>
      <w:pPr>
        <w:spacing w:after="140"/>
        <w:ind w:left="360"/>
      </w:pPr>
      <w:r>
        <w:rPr>
          <w:sz w:val="19"/>
        </w:rPr>
        <w:t>An abandoned interaction appears in queueCDRLegs with username empty, answerTime NULL, agentTalkTime 0 and transfer 0, carrying only its waitTime. Counting rows in queueCDRLegs, therefore, counts abandons as well as handled segments.</w:t>
      </w:r>
    </w:p>
    <w:p>
      <w:pPr>
        <w:spacing w:after="20"/>
      </w:pPr>
      <w:r>
        <w:rPr>
          <w:b/>
          <w:sz w:val="20"/>
        </w:rPr>
        <w:t>Interaction timing excludes time spent in the IVR.</w:t>
      </w:r>
    </w:p>
    <w:p>
      <w:pPr>
        <w:spacing w:after="140"/>
        <w:ind w:left="360"/>
      </w:pPr>
      <w:r>
        <w:rPr>
          <w:sz w:val="19"/>
        </w:rPr>
        <w:t>queueCDR.startTime is the moment the interaction entered the queue, not the moment it reached the platform. For total time in the system including the IVR, add the Logic+ duration from logic.logic.</w:t>
      </w:r>
    </w:p>
    <w:p>
      <w:pPr>
        <w:spacing w:after="20"/>
      </w:pPr>
      <w:r>
        <w:rPr>
          <w:b/>
          <w:sz w:val="20"/>
        </w:rPr>
        <w:t>Sentiment scores and sentiment percentages use different scales.</w:t>
      </w:r>
    </w:p>
    <w:p>
      <w:pPr>
        <w:spacing w:after="140"/>
        <w:ind w:left="360"/>
      </w:pPr>
      <w:r>
        <w:rPr>
          <w:sz w:val="19"/>
        </w:rPr>
        <w:t>In the reporting sentiment table, the score fields run 0 to 1, while the percentage fields run 0 to 100 and sum to 100. Mixing them in one calculation produces results wrong by two orders of magnitude.</w:t>
      </w:r>
    </w:p>
    <w:p>
      <w:r>
        <w:br w:type="page"/>
      </w:r>
    </w:p>
    <w:p>
      <w:pPr>
        <w:pStyle w:val="Heading1"/>
        <w:pBdr>
          <w:bottom w:val="single" w:sz="8" w:space="4" w:color="BAC0CE"/>
        </w:pBdr>
      </w:pPr>
      <w:r>
        <w:rPr>
          <w:rFonts w:ascii="Helvetica Neue" w:hAnsi="Helvetica Neue" w:cs="Helvetica Neue"/>
          <w:color w:val="050508"/>
        </w:rPr>
        <w:t>4.  queueCDR: interaction records</w:t>
      </w:r>
    </w:p>
    <w:p>
      <w:pPr>
        <w:spacing w:after="120"/>
      </w:pPr>
      <w:r>
        <w:rPr>
          <w:b w:val="0"/>
          <w:i/>
          <w:sz w:val="19"/>
        </w:rPr>
        <w:t>One row per interaction.</w:t>
      </w:r>
    </w:p>
    <w:p>
      <w:pPr>
        <w:pStyle w:val="Heading2"/>
      </w:pPr>
      <w:r>
        <w:rPr>
          <w:rFonts w:ascii="Helvetica Neue" w:hAnsi="Helvetica Neue" w:cs="Helvetica Neue"/>
          <w:color w:val="050508"/>
        </w:rPr>
        <w:t>4.1  Identity and keys</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queueCDRID</w:t>
            </w:r>
          </w:p>
        </w:tc>
        <w:tc>
          <w:tcPr>
            <w:tcW w:type="dxa" w:w="2016"/>
          </w:tcPr>
          <w:p>
            <w:pPr>
              <w:spacing w:after="40"/>
            </w:pPr>
            <w:r>
              <w:rPr>
                <w:sz w:val="18"/>
              </w:rPr>
            </w:r>
          </w:p>
        </w:tc>
        <w:tc>
          <w:tcPr>
            <w:tcW w:type="dxa" w:w="5256"/>
          </w:tcPr>
          <w:p>
            <w:pPr>
              <w:spacing w:after="40"/>
            </w:pPr>
            <w:r>
              <w:rPr>
                <w:sz w:val="18"/>
              </w:rPr>
              <w:t>Internal primary key of the database row. It identifies the record, not the interaction; use queueCallManagerID to identify an interaction.</w:t>
            </w:r>
          </w:p>
        </w:tc>
      </w:tr>
      <w:tr>
        <w:trPr>
          <w:cantSplit/>
        </w:trPr>
        <w:tc>
          <w:tcPr>
            <w:tcW w:type="dxa" w:w="2088"/>
            <w:shd w:val="clear" w:fill="FAFAFA"/>
          </w:tcPr>
          <w:p>
            <w:pPr>
              <w:spacing w:after="40"/>
            </w:pPr>
            <w:r>
              <w:rPr>
                <w:rFonts w:ascii="Consolas" w:hAnsi="Consolas" w:cs="Consolas"/>
                <w:b/>
                <w:sz w:val="17"/>
              </w:rPr>
              <w:t>queueCallManagerID</w:t>
            </w:r>
          </w:p>
        </w:tc>
        <w:tc>
          <w:tcPr>
            <w:tcW w:type="dxa" w:w="2016"/>
            <w:shd w:val="clear" w:fill="FAFAFA"/>
          </w:tcPr>
          <w:p>
            <w:pPr>
              <w:spacing w:after="40"/>
            </w:pPr>
            <w:r>
              <w:rPr>
                <w:sz w:val="18"/>
              </w:rPr>
              <w:t>Queue Call Manager ID</w:t>
            </w:r>
          </w:p>
        </w:tc>
        <w:tc>
          <w:tcPr>
            <w:tcW w:type="dxa" w:w="5256"/>
            <w:shd w:val="clear" w:fill="FAFAFA"/>
          </w:tcPr>
          <w:p>
            <w:pPr>
              <w:spacing w:after="40"/>
            </w:pPr>
            <w:r>
              <w:rPr>
                <w:sz w:val="18"/>
              </w:rPr>
              <w:t>A unique numeric code associated with each interaction. This is the key used to join an interaction to its segments in queueCDRLegs, and to the CSAT, summary and sentiment tables.</w:t>
            </w:r>
          </w:p>
        </w:tc>
      </w:tr>
      <w:tr>
        <w:trPr>
          <w:cantSplit/>
        </w:trPr>
        <w:tc>
          <w:tcPr>
            <w:tcW w:type="dxa" w:w="2088"/>
          </w:tcPr>
          <w:p>
            <w:pPr>
              <w:spacing w:after="40"/>
            </w:pPr>
            <w:r>
              <w:rPr>
                <w:rFonts w:ascii="Consolas" w:hAnsi="Consolas" w:cs="Consolas"/>
                <w:b/>
                <w:sz w:val="17"/>
              </w:rPr>
              <w:t>interactionId</w:t>
            </w:r>
          </w:p>
        </w:tc>
        <w:tc>
          <w:tcPr>
            <w:tcW w:type="dxa" w:w="2016"/>
          </w:tcPr>
          <w:p>
            <w:pPr>
              <w:spacing w:after="40"/>
            </w:pPr>
            <w:r>
              <w:rPr>
                <w:sz w:val="18"/>
              </w:rPr>
            </w:r>
          </w:p>
        </w:tc>
        <w:tc>
          <w:tcPr>
            <w:tcW w:type="dxa" w:w="5256"/>
          </w:tcPr>
          <w:p>
            <w:pPr>
              <w:spacing w:after="40"/>
            </w:pPr>
            <w:r>
              <w:rPr>
                <w:sz w:val="18"/>
              </w:rPr>
              <w:t>Platform interaction identifier, for example 016tenumxljcthescj. This is the join key to the Logic+ detail record in logic.logic.</w:t>
            </w:r>
          </w:p>
        </w:tc>
      </w:tr>
      <w:tr>
        <w:trPr>
          <w:cantSplit/>
        </w:trPr>
        <w:tc>
          <w:tcPr>
            <w:tcW w:type="dxa" w:w="2088"/>
            <w:shd w:val="clear" w:fill="FAFAFA"/>
          </w:tcPr>
          <w:p>
            <w:pPr>
              <w:spacing w:after="40"/>
            </w:pPr>
            <w:r>
              <w:rPr>
                <w:rFonts w:ascii="Consolas" w:hAnsi="Consolas" w:cs="Consolas"/>
                <w:b/>
                <w:sz w:val="17"/>
              </w:rPr>
              <w:t>clickToCall</w:t>
            </w:r>
          </w:p>
        </w:tc>
        <w:tc>
          <w:tcPr>
            <w:tcW w:type="dxa" w:w="2016"/>
            <w:shd w:val="clear" w:fill="FAFAFA"/>
          </w:tcPr>
          <w:p>
            <w:pPr>
              <w:spacing w:after="40"/>
            </w:pPr>
            <w:r>
              <w:rPr>
                <w:sz w:val="18"/>
              </w:rPr>
            </w:r>
          </w:p>
        </w:tc>
        <w:tc>
          <w:tcPr>
            <w:tcW w:type="dxa" w:w="5256"/>
            <w:shd w:val="clear" w:fill="FAFAFA"/>
          </w:tcPr>
          <w:p>
            <w:pPr>
              <w:spacing w:after="40"/>
            </w:pPr>
            <w:r>
              <w:rPr>
                <w:sz w:val="18"/>
              </w:rPr>
              <w:t>Interaction correlation key. The interaction notes table joins to queueCDR on this value rather than on queueCallManagerID.</w:t>
            </w:r>
          </w:p>
        </w:tc>
      </w:tr>
      <w:tr>
        <w:trPr>
          <w:cantSplit/>
        </w:trPr>
        <w:tc>
          <w:tcPr>
            <w:tcW w:type="dxa" w:w="2088"/>
          </w:tcPr>
          <w:p>
            <w:pPr>
              <w:spacing w:after="40"/>
            </w:pPr>
            <w:r>
              <w:rPr>
                <w:rFonts w:ascii="Consolas" w:hAnsi="Consolas" w:cs="Consolas"/>
                <w:b/>
                <w:sz w:val="17"/>
              </w:rPr>
              <w:t>context</w:t>
            </w:r>
          </w:p>
        </w:tc>
        <w:tc>
          <w:tcPr>
            <w:tcW w:type="dxa" w:w="2016"/>
          </w:tcPr>
          <w:p>
            <w:pPr>
              <w:spacing w:after="40"/>
            </w:pPr>
            <w:r>
              <w:rPr>
                <w:sz w:val="18"/>
              </w:rPr>
              <w:t>Context</w:t>
            </w:r>
          </w:p>
        </w:tc>
        <w:tc>
          <w:tcPr>
            <w:tcW w:type="dxa" w:w="5256"/>
          </w:tcPr>
          <w:p>
            <w:pPr>
              <w:spacing w:after="40"/>
            </w:pPr>
            <w:r>
              <w:rPr>
                <w:sz w:val="18"/>
              </w:rPr>
              <w:t>The Sharpen account identifier the record belongs to, for example con10115. Every interaction belongs to exactly one account.</w:t>
            </w:r>
          </w:p>
        </w:tc>
      </w:tr>
      <w:tr>
        <w:trPr>
          <w:cantSplit/>
        </w:trPr>
        <w:tc>
          <w:tcPr>
            <w:tcW w:type="dxa" w:w="2088"/>
            <w:shd w:val="clear" w:fill="FAFAFA"/>
          </w:tcPr>
          <w:p>
            <w:pPr>
              <w:spacing w:after="40"/>
            </w:pPr>
            <w:r>
              <w:rPr>
                <w:rFonts w:ascii="Consolas" w:hAnsi="Consolas" w:cs="Consolas"/>
                <w:b/>
                <w:sz w:val="17"/>
              </w:rPr>
              <w:t>vbxName</w:t>
            </w:r>
          </w:p>
        </w:tc>
        <w:tc>
          <w:tcPr>
            <w:tcW w:type="dxa" w:w="2016"/>
            <w:shd w:val="clear" w:fill="FAFAFA"/>
          </w:tcPr>
          <w:p>
            <w:pPr>
              <w:spacing w:after="40"/>
            </w:pPr>
            <w:r>
              <w:rPr>
                <w:sz w:val="18"/>
              </w:rPr>
              <w:t>Server Name</w:t>
            </w:r>
          </w:p>
        </w:tc>
        <w:tc>
          <w:tcPr>
            <w:tcW w:type="dxa" w:w="5256"/>
            <w:shd w:val="clear" w:fill="FAFAFA"/>
          </w:tcPr>
          <w:p>
            <w:pPr>
              <w:spacing w:after="40"/>
            </w:pPr>
            <w:r>
              <w:rPr>
                <w:sz w:val="18"/>
              </w:rPr>
              <w:t>The media server that handled the interaction, for example us1-vp-4032. Operational and diagnostic rather than a business reporting field.</w:t>
            </w:r>
          </w:p>
        </w:tc>
      </w:tr>
    </w:tbl>
    <w:p/>
    <w:p>
      <w:pPr>
        <w:pStyle w:val="Heading2"/>
      </w:pPr>
      <w:r>
        <w:rPr>
          <w:rFonts w:ascii="Helvetica Neue" w:hAnsi="Helvetica Neue" w:cs="Helvetica Neue"/>
          <w:color w:val="050508"/>
        </w:rPr>
        <w:t>4.2  Queue and routing</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queueID</w:t>
            </w:r>
          </w:p>
        </w:tc>
        <w:tc>
          <w:tcPr>
            <w:tcW w:type="dxa" w:w="2016"/>
          </w:tcPr>
          <w:p>
            <w:pPr>
              <w:spacing w:after="40"/>
            </w:pPr>
            <w:r>
              <w:rPr>
                <w:sz w:val="18"/>
              </w:rPr>
              <w:t>Queue ID</w:t>
            </w:r>
          </w:p>
        </w:tc>
        <w:tc>
          <w:tcPr>
            <w:tcW w:type="dxa" w:w="5256"/>
          </w:tcPr>
          <w:p>
            <w:pPr>
              <w:spacing w:after="40"/>
            </w:pPr>
            <w:r>
              <w:rPr>
                <w:sz w:val="18"/>
              </w:rPr>
              <w:t>The ID number of the queue where the interaction landed.</w:t>
            </w:r>
          </w:p>
        </w:tc>
      </w:tr>
      <w:tr>
        <w:trPr>
          <w:cantSplit/>
        </w:trPr>
        <w:tc>
          <w:tcPr>
            <w:tcW w:type="dxa" w:w="2088"/>
            <w:shd w:val="clear" w:fill="FAFAFA"/>
          </w:tcPr>
          <w:p>
            <w:pPr>
              <w:spacing w:after="40"/>
            </w:pPr>
            <w:r>
              <w:rPr>
                <w:rFonts w:ascii="Consolas" w:hAnsi="Consolas" w:cs="Consolas"/>
                <w:b/>
                <w:sz w:val="17"/>
              </w:rPr>
              <w:t>queueName</w:t>
            </w:r>
          </w:p>
        </w:tc>
        <w:tc>
          <w:tcPr>
            <w:tcW w:type="dxa" w:w="2016"/>
            <w:shd w:val="clear" w:fill="FAFAFA"/>
          </w:tcPr>
          <w:p>
            <w:pPr>
              <w:spacing w:after="40"/>
            </w:pPr>
            <w:r>
              <w:rPr>
                <w:sz w:val="18"/>
              </w:rPr>
              <w:t>Queue Name</w:t>
            </w:r>
          </w:p>
        </w:tc>
        <w:tc>
          <w:tcPr>
            <w:tcW w:type="dxa" w:w="5256"/>
            <w:shd w:val="clear" w:fill="FAFAFA"/>
          </w:tcPr>
          <w:p>
            <w:pPr>
              <w:spacing w:after="40"/>
            </w:pPr>
            <w:r>
              <w:rPr>
                <w:sz w:val="18"/>
              </w:rPr>
              <w:t>The name of the queue where the interaction landed.</w:t>
            </w:r>
          </w:p>
        </w:tc>
      </w:tr>
      <w:tr>
        <w:trPr>
          <w:cantSplit/>
        </w:trPr>
        <w:tc>
          <w:tcPr>
            <w:tcW w:type="dxa" w:w="2088"/>
          </w:tcPr>
          <w:p>
            <w:pPr>
              <w:spacing w:after="40"/>
            </w:pPr>
            <w:r>
              <w:rPr>
                <w:rFonts w:ascii="Consolas" w:hAnsi="Consolas" w:cs="Consolas"/>
                <w:b/>
                <w:sz w:val="17"/>
              </w:rPr>
              <w:t>queueSkills</w:t>
            </w:r>
          </w:p>
        </w:tc>
        <w:tc>
          <w:tcPr>
            <w:tcW w:type="dxa" w:w="2016"/>
          </w:tcPr>
          <w:p>
            <w:pPr>
              <w:spacing w:after="40"/>
            </w:pPr>
            <w:r>
              <w:rPr>
                <w:sz w:val="18"/>
              </w:rPr>
              <w:t>Queue Skills</w:t>
            </w:r>
          </w:p>
        </w:tc>
        <w:tc>
          <w:tcPr>
            <w:tcW w:type="dxa" w:w="5256"/>
          </w:tcPr>
          <w:p>
            <w:pPr>
              <w:spacing w:after="40"/>
            </w:pPr>
            <w:r>
              <w:rPr>
                <w:sz w:val="18"/>
              </w:rPr>
              <w:t>Any skills associated with the interaction, used for routing and prioritization.</w:t>
            </w:r>
          </w:p>
        </w:tc>
      </w:tr>
      <w:tr>
        <w:trPr>
          <w:cantSplit/>
        </w:trPr>
        <w:tc>
          <w:tcPr>
            <w:tcW w:type="dxa" w:w="2088"/>
            <w:shd w:val="clear" w:fill="FAFAFA"/>
          </w:tcPr>
          <w:p>
            <w:pPr>
              <w:spacing w:after="40"/>
            </w:pPr>
            <w:r>
              <w:rPr>
                <w:rFonts w:ascii="Consolas" w:hAnsi="Consolas" w:cs="Consolas"/>
                <w:b/>
                <w:sz w:val="17"/>
              </w:rPr>
              <w:t>queuePoints</w:t>
            </w:r>
          </w:p>
        </w:tc>
        <w:tc>
          <w:tcPr>
            <w:tcW w:type="dxa" w:w="2016"/>
            <w:shd w:val="clear" w:fill="FAFAFA"/>
          </w:tcPr>
          <w:p>
            <w:pPr>
              <w:spacing w:after="40"/>
            </w:pPr>
            <w:r>
              <w:rPr>
                <w:sz w:val="18"/>
              </w:rPr>
              <w:t>Queue Points</w:t>
            </w:r>
          </w:p>
        </w:tc>
        <w:tc>
          <w:tcPr>
            <w:tcW w:type="dxa" w:w="5256"/>
            <w:shd w:val="clear" w:fill="FAFAFA"/>
          </w:tcPr>
          <w:p>
            <w:pPr>
              <w:spacing w:after="40"/>
            </w:pPr>
            <w:r>
              <w:rPr>
                <w:sz w:val="18"/>
              </w:rPr>
              <w:t>The number of Q Points assigned to an incoming interaction, used for prioritization and routing.</w:t>
            </w:r>
          </w:p>
        </w:tc>
      </w:tr>
    </w:tbl>
    <w:p/>
    <w:p>
      <w:pPr>
        <w:pStyle w:val="Heading2"/>
      </w:pPr>
      <w:r>
        <w:rPr>
          <w:rFonts w:ascii="Helvetica Neue" w:hAnsi="Helvetica Neue" w:cs="Helvetica Neue"/>
          <w:color w:val="050508"/>
        </w:rPr>
        <w:t>4.3  Agent</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username</w:t>
            </w:r>
          </w:p>
        </w:tc>
        <w:tc>
          <w:tcPr>
            <w:tcW w:type="dxa" w:w="2016"/>
          </w:tcPr>
          <w:p>
            <w:pPr>
              <w:spacing w:after="40"/>
            </w:pPr>
            <w:r>
              <w:rPr>
                <w:sz w:val="18"/>
              </w:rPr>
              <w:t>Username</w:t>
            </w:r>
          </w:p>
        </w:tc>
        <w:tc>
          <w:tcPr>
            <w:tcW w:type="dxa" w:w="5256"/>
          </w:tcPr>
          <w:p>
            <w:pPr>
              <w:spacing w:after="40"/>
            </w:pPr>
            <w:r>
              <w:rPr>
                <w:sz w:val="18"/>
              </w:rPr>
              <w:t>An agent-specific identifier combining the agent’s extension and the account context, for example 1867con5309. Empty where no agent handled the interaction.</w:t>
            </w:r>
          </w:p>
        </w:tc>
      </w:tr>
      <w:tr>
        <w:trPr>
          <w:cantSplit/>
        </w:trPr>
        <w:tc>
          <w:tcPr>
            <w:tcW w:type="dxa" w:w="2088"/>
            <w:shd w:val="clear" w:fill="FAFAFA"/>
          </w:tcPr>
          <w:p>
            <w:pPr>
              <w:spacing w:after="40"/>
            </w:pPr>
            <w:r>
              <w:rPr>
                <w:rFonts w:ascii="Consolas" w:hAnsi="Consolas" w:cs="Consolas"/>
                <w:b/>
                <w:sz w:val="17"/>
              </w:rPr>
              <w:t>agentName</w:t>
            </w:r>
          </w:p>
        </w:tc>
        <w:tc>
          <w:tcPr>
            <w:tcW w:type="dxa" w:w="2016"/>
            <w:shd w:val="clear" w:fill="FAFAFA"/>
          </w:tcPr>
          <w:p>
            <w:pPr>
              <w:spacing w:after="40"/>
            </w:pPr>
            <w:r>
              <w:rPr>
                <w:sz w:val="18"/>
              </w:rPr>
              <w:t>Agent Name</w:t>
            </w:r>
          </w:p>
        </w:tc>
        <w:tc>
          <w:tcPr>
            <w:tcW w:type="dxa" w:w="5256"/>
            <w:shd w:val="clear" w:fill="FAFAFA"/>
          </w:tcPr>
          <w:p>
            <w:pPr>
              <w:spacing w:after="40"/>
            </w:pPr>
            <w:r>
              <w:rPr>
                <w:sz w:val="18"/>
              </w:rPr>
              <w:t>The last agent who handled the interaction. This differs from the segment-level agentName, which is the agent who handled that specific segment.</w:t>
            </w:r>
          </w:p>
        </w:tc>
      </w:tr>
      <w:tr>
        <w:trPr>
          <w:cantSplit/>
        </w:trPr>
        <w:tc>
          <w:tcPr>
            <w:tcW w:type="dxa" w:w="2088"/>
          </w:tcPr>
          <w:p>
            <w:pPr>
              <w:spacing w:after="40"/>
            </w:pPr>
            <w:r>
              <w:rPr>
                <w:rFonts w:ascii="Consolas" w:hAnsi="Consolas" w:cs="Consolas"/>
                <w:b/>
                <w:sz w:val="17"/>
              </w:rPr>
              <w:t>userGroup</w:t>
            </w:r>
          </w:p>
        </w:tc>
        <w:tc>
          <w:tcPr>
            <w:tcW w:type="dxa" w:w="2016"/>
          </w:tcPr>
          <w:p>
            <w:pPr>
              <w:spacing w:after="40"/>
            </w:pPr>
            <w:r>
              <w:rPr>
                <w:sz w:val="18"/>
              </w:rPr>
              <w:t>User Group</w:t>
            </w:r>
          </w:p>
        </w:tc>
        <w:tc>
          <w:tcPr>
            <w:tcW w:type="dxa" w:w="5256"/>
          </w:tcPr>
          <w:p>
            <w:pPr>
              <w:spacing w:after="40"/>
            </w:pPr>
            <w:r>
              <w:rPr>
                <w:sz w:val="18"/>
              </w:rPr>
              <w:t>The User Group of the agent who handled the interaction. May contain several User Groups separated by commas.</w:t>
            </w:r>
          </w:p>
        </w:tc>
      </w:tr>
    </w:tbl>
    <w:p/>
    <w:p>
      <w:pPr>
        <w:pStyle w:val="Heading2"/>
      </w:pPr>
      <w:r>
        <w:rPr>
          <w:rFonts w:ascii="Helvetica Neue" w:hAnsi="Helvetica Neue" w:cs="Helvetica Neue"/>
          <w:color w:val="050508"/>
        </w:rPr>
        <w:t>4.4  Timing and duration</w:t>
      </w:r>
    </w:p>
    <w:p>
      <w:pPr>
        <w:spacing w:after="120"/>
      </w:pPr>
      <w:r>
        <w:rPr>
          <w:b w:val="0"/>
          <w:i/>
          <w:sz w:val="18"/>
        </w:rPr>
        <w:t>All durations are whole seconds and all timestamps are UTC. These fields reconcile: startTime plus holdTime gives the answer time, and the answer time plus talkTime gives endTime.</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startTime</w:t>
            </w:r>
          </w:p>
        </w:tc>
        <w:tc>
          <w:tcPr>
            <w:tcW w:type="dxa" w:w="2016"/>
          </w:tcPr>
          <w:p>
            <w:pPr>
              <w:spacing w:after="40"/>
            </w:pPr>
            <w:r>
              <w:rPr>
                <w:sz w:val="18"/>
              </w:rPr>
              <w:t>Start Time</w:t>
            </w:r>
          </w:p>
        </w:tc>
        <w:tc>
          <w:tcPr>
            <w:tcW w:type="dxa" w:w="5256"/>
          </w:tcPr>
          <w:p>
            <w:pPr>
              <w:spacing w:after="40"/>
            </w:pPr>
            <w:r>
              <w:rPr>
                <w:sz w:val="18"/>
              </w:rPr>
              <w:t>Date and time the interaction entered the queue. Time spent in an IVR or Logic+ flow beforehand is not included.</w:t>
            </w:r>
          </w:p>
        </w:tc>
      </w:tr>
      <w:tr>
        <w:trPr>
          <w:cantSplit/>
        </w:trPr>
        <w:tc>
          <w:tcPr>
            <w:tcW w:type="dxa" w:w="2088"/>
            <w:shd w:val="clear" w:fill="FAFAFA"/>
          </w:tcPr>
          <w:p>
            <w:pPr>
              <w:spacing w:after="40"/>
            </w:pPr>
            <w:r>
              <w:rPr>
                <w:rFonts w:ascii="Consolas" w:hAnsi="Consolas" w:cs="Consolas"/>
                <w:b/>
                <w:sz w:val="17"/>
              </w:rPr>
              <w:t>endTime</w:t>
            </w:r>
          </w:p>
        </w:tc>
        <w:tc>
          <w:tcPr>
            <w:tcW w:type="dxa" w:w="2016"/>
            <w:shd w:val="clear" w:fill="FAFAFA"/>
          </w:tcPr>
          <w:p>
            <w:pPr>
              <w:spacing w:after="40"/>
            </w:pPr>
            <w:r>
              <w:rPr>
                <w:sz w:val="18"/>
              </w:rPr>
              <w:t>End Time</w:t>
            </w:r>
          </w:p>
        </w:tc>
        <w:tc>
          <w:tcPr>
            <w:tcW w:type="dxa" w:w="5256"/>
            <w:shd w:val="clear" w:fill="FAFAFA"/>
          </w:tcPr>
          <w:p>
            <w:pPr>
              <w:spacing w:after="40"/>
            </w:pPr>
            <w:r>
              <w:rPr>
                <w:sz w:val="18"/>
              </w:rPr>
              <w:t>Date and time the interaction disconnected, either by the customer or via the End Interaction button. Does not include wrap-up time, which occurs afterwards.</w:t>
            </w:r>
          </w:p>
        </w:tc>
      </w:tr>
      <w:tr>
        <w:trPr>
          <w:cantSplit/>
        </w:trPr>
        <w:tc>
          <w:tcPr>
            <w:tcW w:type="dxa" w:w="2088"/>
          </w:tcPr>
          <w:p>
            <w:pPr>
              <w:spacing w:after="40"/>
            </w:pPr>
            <w:r>
              <w:rPr>
                <w:rFonts w:ascii="Consolas" w:hAnsi="Consolas" w:cs="Consolas"/>
                <w:b/>
                <w:sz w:val="17"/>
              </w:rPr>
              <w:t>holdTime</w:t>
            </w:r>
          </w:p>
        </w:tc>
        <w:tc>
          <w:tcPr>
            <w:tcW w:type="dxa" w:w="2016"/>
          </w:tcPr>
          <w:p>
            <w:pPr>
              <w:spacing w:after="40"/>
            </w:pPr>
            <w:r>
              <w:rPr>
                <w:sz w:val="18"/>
              </w:rPr>
              <w:t>Hold Time</w:t>
            </w:r>
          </w:p>
        </w:tc>
        <w:tc>
          <w:tcPr>
            <w:tcW w:type="dxa" w:w="5256"/>
          </w:tcPr>
          <w:p>
            <w:pPr>
              <w:spacing w:after="40"/>
            </w:pPr>
            <w:r>
              <w:rPr>
                <w:sz w:val="18"/>
              </w:rPr>
              <w:t>The time the customer spent waiting in queue before an agent answered. Despite the Hold Time label this is queue wait time, and it equals the sum of the segment wait times. For agent-initiated hold, use agentHoldTime.</w:t>
            </w:r>
          </w:p>
        </w:tc>
      </w:tr>
      <w:tr>
        <w:trPr>
          <w:cantSplit/>
        </w:trPr>
        <w:tc>
          <w:tcPr>
            <w:tcW w:type="dxa" w:w="2088"/>
            <w:shd w:val="clear" w:fill="FAFAFA"/>
          </w:tcPr>
          <w:p>
            <w:pPr>
              <w:spacing w:after="40"/>
            </w:pPr>
            <w:r>
              <w:rPr>
                <w:rFonts w:ascii="Consolas" w:hAnsi="Consolas" w:cs="Consolas"/>
                <w:b/>
                <w:sz w:val="17"/>
              </w:rPr>
              <w:t>talkTime</w:t>
            </w:r>
          </w:p>
        </w:tc>
        <w:tc>
          <w:tcPr>
            <w:tcW w:type="dxa" w:w="2016"/>
            <w:shd w:val="clear" w:fill="FAFAFA"/>
          </w:tcPr>
          <w:p>
            <w:pPr>
              <w:spacing w:after="40"/>
            </w:pPr>
            <w:r>
              <w:rPr>
                <w:sz w:val="18"/>
              </w:rPr>
              <w:t>Talk Time</w:t>
            </w:r>
          </w:p>
        </w:tc>
        <w:tc>
          <w:tcPr>
            <w:tcW w:type="dxa" w:w="5256"/>
            <w:shd w:val="clear" w:fill="FAFAFA"/>
          </w:tcPr>
          <w:p>
            <w:pPr>
              <w:spacing w:after="40"/>
            </w:pPr>
            <w:r>
              <w:rPr>
                <w:sz w:val="18"/>
              </w:rPr>
              <w:t>The time the customer spent engaging with an agent.</w:t>
            </w:r>
          </w:p>
        </w:tc>
      </w:tr>
      <w:tr>
        <w:trPr>
          <w:cantSplit/>
        </w:trPr>
        <w:tc>
          <w:tcPr>
            <w:tcW w:type="dxa" w:w="2088"/>
          </w:tcPr>
          <w:p>
            <w:pPr>
              <w:spacing w:after="40"/>
            </w:pPr>
            <w:r>
              <w:rPr>
                <w:rFonts w:ascii="Consolas" w:hAnsi="Consolas" w:cs="Consolas"/>
                <w:b/>
                <w:sz w:val="17"/>
              </w:rPr>
              <w:t>agentHoldTime</w:t>
            </w:r>
          </w:p>
        </w:tc>
        <w:tc>
          <w:tcPr>
            <w:tcW w:type="dxa" w:w="2016"/>
          </w:tcPr>
          <w:p>
            <w:pPr>
              <w:spacing w:after="40"/>
            </w:pPr>
            <w:r>
              <w:rPr>
                <w:sz w:val="18"/>
              </w:rPr>
              <w:t>Agent Hold Time</w:t>
            </w:r>
          </w:p>
        </w:tc>
        <w:tc>
          <w:tcPr>
            <w:tcW w:type="dxa" w:w="5256"/>
          </w:tcPr>
          <w:p>
            <w:pPr>
              <w:spacing w:after="40"/>
            </w:pPr>
            <w:r>
              <w:rPr>
                <w:sz w:val="18"/>
              </w:rPr>
              <w:t>The total time the customer spent on agent-initiated hold during the interaction. This is the true hold-time measure.</w:t>
            </w:r>
          </w:p>
        </w:tc>
      </w:tr>
      <w:tr>
        <w:trPr>
          <w:cantSplit/>
        </w:trPr>
        <w:tc>
          <w:tcPr>
            <w:tcW w:type="dxa" w:w="2088"/>
            <w:shd w:val="clear" w:fill="FAFAFA"/>
          </w:tcPr>
          <w:p>
            <w:pPr>
              <w:spacing w:after="40"/>
            </w:pPr>
            <w:r>
              <w:rPr>
                <w:rFonts w:ascii="Consolas" w:hAnsi="Consolas" w:cs="Consolas"/>
                <w:b/>
                <w:sz w:val="17"/>
              </w:rPr>
              <w:t>wrapUpTime</w:t>
            </w:r>
          </w:p>
        </w:tc>
        <w:tc>
          <w:tcPr>
            <w:tcW w:type="dxa" w:w="2016"/>
            <w:shd w:val="clear" w:fill="FAFAFA"/>
          </w:tcPr>
          <w:p>
            <w:pPr>
              <w:spacing w:after="40"/>
            </w:pPr>
            <w:r>
              <w:rPr>
                <w:sz w:val="18"/>
              </w:rPr>
              <w:t>Wrap Up Time</w:t>
            </w:r>
          </w:p>
        </w:tc>
        <w:tc>
          <w:tcPr>
            <w:tcW w:type="dxa" w:w="5256"/>
            <w:shd w:val="clear" w:fill="FAFAFA"/>
          </w:tcPr>
          <w:p>
            <w:pPr>
              <w:spacing w:after="40"/>
            </w:pPr>
            <w:r>
              <w:rPr>
                <w:sz w:val="18"/>
              </w:rPr>
              <w:t>The time the agent spent on post-interaction wrap-up. This occurs after endTime and is not included in the interaction’s start-to-end duration.</w:t>
            </w:r>
          </w:p>
        </w:tc>
      </w:tr>
    </w:tbl>
    <w:p/>
    <w:p>
      <w:pPr>
        <w:pStyle w:val="Heading2"/>
      </w:pPr>
      <w:r>
        <w:rPr>
          <w:rFonts w:ascii="Helvetica Neue" w:hAnsi="Helvetica Neue" w:cs="Helvetica Neue"/>
          <w:color w:val="050508"/>
        </w:rPr>
        <w:t>4.5  Caller and destination</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cidNumber</w:t>
            </w:r>
          </w:p>
        </w:tc>
        <w:tc>
          <w:tcPr>
            <w:tcW w:type="dxa" w:w="2016"/>
          </w:tcPr>
          <w:p>
            <w:pPr>
              <w:spacing w:after="40"/>
            </w:pPr>
            <w:r>
              <w:rPr>
                <w:sz w:val="18"/>
              </w:rPr>
              <w:t>Source Number</w:t>
            </w:r>
          </w:p>
        </w:tc>
        <w:tc>
          <w:tcPr>
            <w:tcW w:type="dxa" w:w="5256"/>
          </w:tcPr>
          <w:p>
            <w:pPr>
              <w:spacing w:after="40"/>
            </w:pPr>
            <w:r>
              <w:rPr>
                <w:sz w:val="18"/>
              </w:rPr>
              <w:t>The number the customer dialled from, based on ANI.</w:t>
            </w:r>
          </w:p>
        </w:tc>
      </w:tr>
      <w:tr>
        <w:trPr>
          <w:cantSplit/>
        </w:trPr>
        <w:tc>
          <w:tcPr>
            <w:tcW w:type="dxa" w:w="2088"/>
            <w:shd w:val="clear" w:fill="FAFAFA"/>
          </w:tcPr>
          <w:p>
            <w:pPr>
              <w:spacing w:after="40"/>
            </w:pPr>
            <w:r>
              <w:rPr>
                <w:rFonts w:ascii="Consolas" w:hAnsi="Consolas" w:cs="Consolas"/>
                <w:b/>
                <w:sz w:val="17"/>
              </w:rPr>
              <w:t>cidName</w:t>
            </w:r>
          </w:p>
        </w:tc>
        <w:tc>
          <w:tcPr>
            <w:tcW w:type="dxa" w:w="2016"/>
            <w:shd w:val="clear" w:fill="FAFAFA"/>
          </w:tcPr>
          <w:p>
            <w:pPr>
              <w:spacing w:after="40"/>
            </w:pPr>
            <w:r>
              <w:rPr>
                <w:sz w:val="18"/>
              </w:rPr>
              <w:t>Source Name</w:t>
            </w:r>
          </w:p>
        </w:tc>
        <w:tc>
          <w:tcPr>
            <w:tcW w:type="dxa" w:w="5256"/>
            <w:shd w:val="clear" w:fill="FAFAFA"/>
          </w:tcPr>
          <w:p>
            <w:pPr>
              <w:spacing w:after="40"/>
            </w:pPr>
            <w:r>
              <w:rPr>
                <w:sz w:val="18"/>
              </w:rPr>
              <w:t>The name associated with an inbound interaction, based on ANI. Frequently repeats the number where no caller name is available.</w:t>
            </w:r>
          </w:p>
        </w:tc>
      </w:tr>
      <w:tr>
        <w:trPr>
          <w:cantSplit/>
        </w:trPr>
        <w:tc>
          <w:tcPr>
            <w:tcW w:type="dxa" w:w="2088"/>
          </w:tcPr>
          <w:p>
            <w:pPr>
              <w:spacing w:after="40"/>
            </w:pPr>
            <w:r>
              <w:rPr>
                <w:rFonts w:ascii="Consolas" w:hAnsi="Consolas" w:cs="Consolas"/>
                <w:b/>
                <w:sz w:val="17"/>
              </w:rPr>
              <w:t>inboundNumber</w:t>
            </w:r>
          </w:p>
        </w:tc>
        <w:tc>
          <w:tcPr>
            <w:tcW w:type="dxa" w:w="2016"/>
          </w:tcPr>
          <w:p>
            <w:pPr>
              <w:spacing w:after="40"/>
            </w:pPr>
            <w:r>
              <w:rPr>
                <w:sz w:val="18"/>
              </w:rPr>
              <w:t>Inbound Number</w:t>
            </w:r>
          </w:p>
        </w:tc>
        <w:tc>
          <w:tcPr>
            <w:tcW w:type="dxa" w:w="5256"/>
          </w:tcPr>
          <w:p>
            <w:pPr>
              <w:spacing w:after="40"/>
            </w:pPr>
            <w:r>
              <w:rPr>
                <w:sz w:val="18"/>
              </w:rPr>
              <w:t>The number the customer dialled to reach the company.</w:t>
            </w:r>
          </w:p>
        </w:tc>
      </w:tr>
      <w:tr>
        <w:trPr>
          <w:cantSplit/>
        </w:trPr>
        <w:tc>
          <w:tcPr>
            <w:tcW w:type="dxa" w:w="2088"/>
            <w:shd w:val="clear" w:fill="FAFAFA"/>
          </w:tcPr>
          <w:p>
            <w:pPr>
              <w:spacing w:after="40"/>
            </w:pPr>
            <w:r>
              <w:rPr>
                <w:rFonts w:ascii="Consolas" w:hAnsi="Consolas" w:cs="Consolas"/>
                <w:b/>
                <w:sz w:val="17"/>
              </w:rPr>
              <w:t>inboundName</w:t>
            </w:r>
          </w:p>
        </w:tc>
        <w:tc>
          <w:tcPr>
            <w:tcW w:type="dxa" w:w="2016"/>
            <w:shd w:val="clear" w:fill="FAFAFA"/>
          </w:tcPr>
          <w:p>
            <w:pPr>
              <w:spacing w:after="40"/>
            </w:pPr>
            <w:r>
              <w:rPr>
                <w:sz w:val="18"/>
              </w:rPr>
              <w:t>Inbound Name</w:t>
            </w:r>
          </w:p>
        </w:tc>
        <w:tc>
          <w:tcPr>
            <w:tcW w:type="dxa" w:w="5256"/>
            <w:shd w:val="clear" w:fill="FAFAFA"/>
          </w:tcPr>
          <w:p>
            <w:pPr>
              <w:spacing w:after="40"/>
            </w:pPr>
            <w:r>
              <w:rPr>
                <w:sz w:val="18"/>
              </w:rPr>
              <w:t>The internal name configured against the inbound number, in effect the name of the inbound route.</w:t>
            </w:r>
          </w:p>
        </w:tc>
      </w:tr>
      <w:tr>
        <w:trPr>
          <w:cantSplit/>
        </w:trPr>
        <w:tc>
          <w:tcPr>
            <w:tcW w:type="dxa" w:w="2088"/>
          </w:tcPr>
          <w:p>
            <w:pPr>
              <w:spacing w:after="40"/>
            </w:pPr>
            <w:r>
              <w:rPr>
                <w:rFonts w:ascii="Consolas" w:hAnsi="Consolas" w:cs="Consolas"/>
                <w:b/>
                <w:sz w:val="17"/>
              </w:rPr>
              <w:t>callbackNumber</w:t>
            </w:r>
          </w:p>
        </w:tc>
        <w:tc>
          <w:tcPr>
            <w:tcW w:type="dxa" w:w="2016"/>
          </w:tcPr>
          <w:p>
            <w:pPr>
              <w:spacing w:after="40"/>
            </w:pPr>
            <w:r>
              <w:rPr>
                <w:sz w:val="18"/>
              </w:rPr>
              <w:t>Callback Number</w:t>
            </w:r>
          </w:p>
        </w:tc>
        <w:tc>
          <w:tcPr>
            <w:tcW w:type="dxa" w:w="5256"/>
          </w:tcPr>
          <w:p>
            <w:pPr>
              <w:spacing w:after="40"/>
            </w:pPr>
            <w:r>
              <w:rPr>
                <w:sz w:val="18"/>
              </w:rPr>
              <w:t>The number that would be used for a callback, typically the same number the customer is calling from.</w:t>
            </w:r>
          </w:p>
        </w:tc>
      </w:tr>
      <w:tr>
        <w:trPr>
          <w:cantSplit/>
        </w:trPr>
        <w:tc>
          <w:tcPr>
            <w:tcW w:type="dxa" w:w="2088"/>
            <w:shd w:val="clear" w:fill="FAFAFA"/>
          </w:tcPr>
          <w:p>
            <w:pPr>
              <w:spacing w:after="40"/>
            </w:pPr>
            <w:r>
              <w:rPr>
                <w:rFonts w:ascii="Consolas" w:hAnsi="Consolas" w:cs="Consolas"/>
                <w:b/>
                <w:sz w:val="17"/>
              </w:rPr>
              <w:t>queueCallback</w:t>
            </w:r>
          </w:p>
        </w:tc>
        <w:tc>
          <w:tcPr>
            <w:tcW w:type="dxa" w:w="2016"/>
            <w:shd w:val="clear" w:fill="FAFAFA"/>
          </w:tcPr>
          <w:p>
            <w:pPr>
              <w:spacing w:after="40"/>
            </w:pPr>
            <w:r>
              <w:rPr>
                <w:sz w:val="18"/>
              </w:rPr>
              <w:t>Queue Callback</w:t>
            </w:r>
          </w:p>
        </w:tc>
        <w:tc>
          <w:tcPr>
            <w:tcW w:type="dxa" w:w="5256"/>
            <w:shd w:val="clear" w:fill="FAFAFA"/>
          </w:tcPr>
          <w:p>
            <w:pPr>
              <w:spacing w:after="40"/>
            </w:pPr>
            <w:r>
              <w:rPr>
                <w:sz w:val="18"/>
              </w:rPr>
              <w:t>1 denotes an outbound dial placed from a Sharpen Q rather than a personal extension; 0 otherwise.</w:t>
            </w:r>
          </w:p>
        </w:tc>
      </w:tr>
      <w:tr>
        <w:trPr>
          <w:cantSplit/>
        </w:trPr>
        <w:tc>
          <w:tcPr>
            <w:tcW w:type="dxa" w:w="2088"/>
          </w:tcPr>
          <w:p>
            <w:pPr>
              <w:spacing w:after="40"/>
            </w:pPr>
            <w:r>
              <w:rPr>
                <w:rFonts w:ascii="Consolas" w:hAnsi="Consolas" w:cs="Consolas"/>
                <w:b/>
                <w:sz w:val="17"/>
              </w:rPr>
              <w:t>callerCity</w:t>
            </w:r>
          </w:p>
        </w:tc>
        <w:tc>
          <w:tcPr>
            <w:tcW w:type="dxa" w:w="2016"/>
          </w:tcPr>
          <w:p>
            <w:pPr>
              <w:spacing w:after="40"/>
            </w:pPr>
            <w:r>
              <w:rPr>
                <w:sz w:val="18"/>
              </w:rPr>
              <w:t>Caller City</w:t>
            </w:r>
          </w:p>
        </w:tc>
        <w:tc>
          <w:tcPr>
            <w:tcW w:type="dxa" w:w="5256"/>
          </w:tcPr>
          <w:p>
            <w:pPr>
              <w:spacing w:after="40"/>
            </w:pPr>
            <w:r>
              <w:rPr>
                <w:sz w:val="18"/>
              </w:rPr>
              <w:t>The city the customer is calling from, based on ANI. Contains the literal string 0 where the lookup does not resolve.</w:t>
            </w:r>
          </w:p>
        </w:tc>
      </w:tr>
      <w:tr>
        <w:trPr>
          <w:cantSplit/>
        </w:trPr>
        <w:tc>
          <w:tcPr>
            <w:tcW w:type="dxa" w:w="2088"/>
            <w:shd w:val="clear" w:fill="FAFAFA"/>
          </w:tcPr>
          <w:p>
            <w:pPr>
              <w:spacing w:after="40"/>
            </w:pPr>
            <w:r>
              <w:rPr>
                <w:rFonts w:ascii="Consolas" w:hAnsi="Consolas" w:cs="Consolas"/>
                <w:b/>
                <w:sz w:val="17"/>
              </w:rPr>
              <w:t>callerState</w:t>
            </w:r>
          </w:p>
        </w:tc>
        <w:tc>
          <w:tcPr>
            <w:tcW w:type="dxa" w:w="2016"/>
            <w:shd w:val="clear" w:fill="FAFAFA"/>
          </w:tcPr>
          <w:p>
            <w:pPr>
              <w:spacing w:after="40"/>
            </w:pPr>
            <w:r>
              <w:rPr>
                <w:sz w:val="18"/>
              </w:rPr>
              <w:t>Caller State</w:t>
            </w:r>
          </w:p>
        </w:tc>
        <w:tc>
          <w:tcPr>
            <w:tcW w:type="dxa" w:w="5256"/>
            <w:shd w:val="clear" w:fill="FAFAFA"/>
          </w:tcPr>
          <w:p>
            <w:pPr>
              <w:spacing w:after="40"/>
            </w:pPr>
            <w:r>
              <w:rPr>
                <w:sz w:val="18"/>
              </w:rPr>
              <w:t>The state the customer is calling from, based on ANI. Contains the literal string 0 where the lookup does not resolve.</w:t>
            </w:r>
          </w:p>
        </w:tc>
      </w:tr>
      <w:tr>
        <w:trPr>
          <w:cantSplit/>
        </w:trPr>
        <w:tc>
          <w:tcPr>
            <w:tcW w:type="dxa" w:w="2088"/>
          </w:tcPr>
          <w:p>
            <w:pPr>
              <w:spacing w:after="40"/>
            </w:pPr>
            <w:r>
              <w:rPr>
                <w:rFonts w:ascii="Consolas" w:hAnsi="Consolas" w:cs="Consolas"/>
                <w:b/>
                <w:sz w:val="17"/>
              </w:rPr>
              <w:t>callerCountry</w:t>
            </w:r>
          </w:p>
        </w:tc>
        <w:tc>
          <w:tcPr>
            <w:tcW w:type="dxa" w:w="2016"/>
          </w:tcPr>
          <w:p>
            <w:pPr>
              <w:spacing w:after="40"/>
            </w:pPr>
            <w:r>
              <w:rPr>
                <w:sz w:val="18"/>
              </w:rPr>
              <w:t>Caller Country</w:t>
            </w:r>
          </w:p>
        </w:tc>
        <w:tc>
          <w:tcPr>
            <w:tcW w:type="dxa" w:w="5256"/>
          </w:tcPr>
          <w:p>
            <w:pPr>
              <w:spacing w:after="40"/>
            </w:pPr>
            <w:r>
              <w:rPr>
                <w:sz w:val="18"/>
              </w:rPr>
              <w:t>The country the customer is calling from, based on ANI.</w:t>
            </w:r>
          </w:p>
        </w:tc>
      </w:tr>
    </w:tbl>
    <w:p/>
    <w:p>
      <w:pPr>
        <w:pStyle w:val="Heading2"/>
      </w:pPr>
      <w:r>
        <w:rPr>
          <w:rFonts w:ascii="Helvetica Neue" w:hAnsi="Helvetica Neue" w:cs="Helvetica Neue"/>
          <w:color w:val="050508"/>
        </w:rPr>
        <w:t>4.6  Contact details</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firstName</w:t>
            </w:r>
          </w:p>
        </w:tc>
        <w:tc>
          <w:tcPr>
            <w:tcW w:type="dxa" w:w="2016"/>
          </w:tcPr>
          <w:p>
            <w:pPr>
              <w:spacing w:after="40"/>
            </w:pPr>
            <w:r>
              <w:rPr>
                <w:sz w:val="18"/>
              </w:rPr>
              <w:t>First Name</w:t>
            </w:r>
          </w:p>
        </w:tc>
        <w:tc>
          <w:tcPr>
            <w:tcW w:type="dxa" w:w="5256"/>
          </w:tcPr>
          <w:p>
            <w:pPr>
              <w:spacing w:after="40"/>
            </w:pPr>
            <w:r>
              <w:rPr>
                <w:sz w:val="18"/>
              </w:rPr>
              <w:t>Any known first name for the caller.</w:t>
            </w:r>
          </w:p>
        </w:tc>
      </w:tr>
      <w:tr>
        <w:trPr>
          <w:cantSplit/>
        </w:trPr>
        <w:tc>
          <w:tcPr>
            <w:tcW w:type="dxa" w:w="2088"/>
            <w:shd w:val="clear" w:fill="FAFAFA"/>
          </w:tcPr>
          <w:p>
            <w:pPr>
              <w:spacing w:after="40"/>
            </w:pPr>
            <w:r>
              <w:rPr>
                <w:rFonts w:ascii="Consolas" w:hAnsi="Consolas" w:cs="Consolas"/>
                <w:b/>
                <w:sz w:val="17"/>
              </w:rPr>
              <w:t>lastName</w:t>
            </w:r>
          </w:p>
        </w:tc>
        <w:tc>
          <w:tcPr>
            <w:tcW w:type="dxa" w:w="2016"/>
            <w:shd w:val="clear" w:fill="FAFAFA"/>
          </w:tcPr>
          <w:p>
            <w:pPr>
              <w:spacing w:after="40"/>
            </w:pPr>
            <w:r>
              <w:rPr>
                <w:sz w:val="18"/>
              </w:rPr>
              <w:t>Last Name</w:t>
            </w:r>
          </w:p>
        </w:tc>
        <w:tc>
          <w:tcPr>
            <w:tcW w:type="dxa" w:w="5256"/>
            <w:shd w:val="clear" w:fill="FAFAFA"/>
          </w:tcPr>
          <w:p>
            <w:pPr>
              <w:spacing w:after="40"/>
            </w:pPr>
            <w:r>
              <w:rPr>
                <w:sz w:val="18"/>
              </w:rPr>
              <w:t>Any known last name for the caller.</w:t>
            </w:r>
          </w:p>
        </w:tc>
      </w:tr>
      <w:tr>
        <w:trPr>
          <w:cantSplit/>
        </w:trPr>
        <w:tc>
          <w:tcPr>
            <w:tcW w:type="dxa" w:w="2088"/>
          </w:tcPr>
          <w:p>
            <w:pPr>
              <w:spacing w:after="40"/>
            </w:pPr>
            <w:r>
              <w:rPr>
                <w:rFonts w:ascii="Consolas" w:hAnsi="Consolas" w:cs="Consolas"/>
                <w:b/>
                <w:sz w:val="17"/>
              </w:rPr>
              <w:t>email</w:t>
            </w:r>
          </w:p>
        </w:tc>
        <w:tc>
          <w:tcPr>
            <w:tcW w:type="dxa" w:w="2016"/>
          </w:tcPr>
          <w:p>
            <w:pPr>
              <w:spacing w:after="40"/>
            </w:pPr>
            <w:r>
              <w:rPr>
                <w:sz w:val="18"/>
              </w:rPr>
              <w:t>Email</w:t>
            </w:r>
          </w:p>
        </w:tc>
        <w:tc>
          <w:tcPr>
            <w:tcW w:type="dxa" w:w="5256"/>
          </w:tcPr>
          <w:p>
            <w:pPr>
              <w:spacing w:after="40"/>
            </w:pPr>
            <w:r>
              <w:rPr>
                <w:sz w:val="18"/>
              </w:rPr>
              <w:t>The customer’s email address, where available.</w:t>
            </w:r>
          </w:p>
        </w:tc>
      </w:tr>
      <w:tr>
        <w:trPr>
          <w:cantSplit/>
        </w:trPr>
        <w:tc>
          <w:tcPr>
            <w:tcW w:type="dxa" w:w="2088"/>
            <w:shd w:val="clear" w:fill="FAFAFA"/>
          </w:tcPr>
          <w:p>
            <w:pPr>
              <w:spacing w:after="40"/>
            </w:pPr>
            <w:r>
              <w:rPr>
                <w:rFonts w:ascii="Consolas" w:hAnsi="Consolas" w:cs="Consolas"/>
                <w:b/>
                <w:sz w:val="17"/>
              </w:rPr>
              <w:t>companyName</w:t>
            </w:r>
          </w:p>
        </w:tc>
        <w:tc>
          <w:tcPr>
            <w:tcW w:type="dxa" w:w="2016"/>
            <w:shd w:val="clear" w:fill="FAFAFA"/>
          </w:tcPr>
          <w:p>
            <w:pPr>
              <w:spacing w:after="40"/>
            </w:pPr>
            <w:r>
              <w:rPr>
                <w:sz w:val="18"/>
              </w:rPr>
              <w:t>Company Name</w:t>
            </w:r>
          </w:p>
        </w:tc>
        <w:tc>
          <w:tcPr>
            <w:tcW w:type="dxa" w:w="5256"/>
            <w:shd w:val="clear" w:fill="FAFAFA"/>
          </w:tcPr>
          <w:p>
            <w:pPr>
              <w:spacing w:after="40"/>
            </w:pPr>
            <w:r>
              <w:rPr>
                <w:sz w:val="18"/>
              </w:rPr>
              <w:t>Any known information about the caller’s company affiliation.</w:t>
            </w:r>
          </w:p>
        </w:tc>
      </w:tr>
      <w:tr>
        <w:trPr>
          <w:cantSplit/>
        </w:trPr>
        <w:tc>
          <w:tcPr>
            <w:tcW w:type="dxa" w:w="2088"/>
          </w:tcPr>
          <w:p>
            <w:pPr>
              <w:spacing w:after="40"/>
            </w:pPr>
            <w:r>
              <w:rPr>
                <w:rFonts w:ascii="Consolas" w:hAnsi="Consolas" w:cs="Consolas"/>
                <w:b/>
                <w:sz w:val="17"/>
              </w:rPr>
              <w:t>title</w:t>
            </w:r>
          </w:p>
        </w:tc>
        <w:tc>
          <w:tcPr>
            <w:tcW w:type="dxa" w:w="2016"/>
          </w:tcPr>
          <w:p>
            <w:pPr>
              <w:spacing w:after="40"/>
            </w:pPr>
            <w:r>
              <w:rPr>
                <w:sz w:val="18"/>
              </w:rPr>
              <w:t>Title</w:t>
            </w:r>
          </w:p>
        </w:tc>
        <w:tc>
          <w:tcPr>
            <w:tcW w:type="dxa" w:w="5256"/>
          </w:tcPr>
          <w:p>
            <w:pPr>
              <w:spacing w:after="40"/>
            </w:pPr>
            <w:r>
              <w:rPr>
                <w:sz w:val="18"/>
              </w:rPr>
              <w:t>Any known information about the caller’s title or role within their company.</w:t>
            </w:r>
          </w:p>
        </w:tc>
      </w:tr>
      <w:tr>
        <w:trPr>
          <w:cantSplit/>
        </w:trPr>
        <w:tc>
          <w:tcPr>
            <w:tcW w:type="dxa" w:w="2088"/>
            <w:shd w:val="clear" w:fill="FAFAFA"/>
          </w:tcPr>
          <w:p>
            <w:pPr>
              <w:spacing w:after="40"/>
            </w:pPr>
            <w:r>
              <w:rPr>
                <w:rFonts w:ascii="Consolas" w:hAnsi="Consolas" w:cs="Consolas"/>
                <w:b/>
                <w:sz w:val="17"/>
              </w:rPr>
              <w:t>fathomContactsID</w:t>
            </w:r>
          </w:p>
        </w:tc>
        <w:tc>
          <w:tcPr>
            <w:tcW w:type="dxa" w:w="2016"/>
            <w:shd w:val="clear" w:fill="FAFAFA"/>
          </w:tcPr>
          <w:p>
            <w:pPr>
              <w:spacing w:after="40"/>
            </w:pPr>
            <w:r>
              <w:rPr>
                <w:sz w:val="18"/>
              </w:rPr>
              <w:t>Sharpen Contacts ID</w:t>
            </w:r>
          </w:p>
        </w:tc>
        <w:tc>
          <w:tcPr>
            <w:tcW w:type="dxa" w:w="5256"/>
            <w:shd w:val="clear" w:fill="FAFAFA"/>
          </w:tcPr>
          <w:p>
            <w:pPr>
              <w:spacing w:after="40"/>
            </w:pPr>
            <w:r>
              <w:rPr>
                <w:sz w:val="18"/>
              </w:rPr>
              <w:t>Identifier of the matched record in Sharpen Contacts.</w:t>
            </w:r>
          </w:p>
        </w:tc>
      </w:tr>
    </w:tbl>
    <w:p/>
    <w:p>
      <w:pPr>
        <w:pStyle w:val="Heading2"/>
      </w:pPr>
      <w:r>
        <w:rPr>
          <w:rFonts w:ascii="Helvetica Neue" w:hAnsi="Helvetica Neue" w:cs="Helvetica Neue"/>
          <w:color w:val="050508"/>
        </w:rPr>
        <w:t>4.7  Classification</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commType</w:t>
            </w:r>
          </w:p>
        </w:tc>
        <w:tc>
          <w:tcPr>
            <w:tcW w:type="dxa" w:w="2016"/>
          </w:tcPr>
          <w:p>
            <w:pPr>
              <w:spacing w:after="40"/>
            </w:pPr>
            <w:r>
              <w:rPr>
                <w:sz w:val="18"/>
              </w:rPr>
              <w:t>Communication Type</w:t>
            </w:r>
          </w:p>
        </w:tc>
        <w:tc>
          <w:tcPr>
            <w:tcW w:type="dxa" w:w="5256"/>
          </w:tcPr>
          <w:p>
            <w:pPr>
              <w:spacing w:after="40"/>
            </w:pPr>
            <w:r>
              <w:rPr>
                <w:sz w:val="18"/>
              </w:rPr>
              <w:t>The communication type by which the interaction was initiated. inboundCall denotes an inbound queued interaction and phoneCall an agent-initiated or manual outbound call.</w:t>
            </w:r>
          </w:p>
        </w:tc>
      </w:tr>
      <w:tr>
        <w:trPr>
          <w:cantSplit/>
        </w:trPr>
        <w:tc>
          <w:tcPr>
            <w:tcW w:type="dxa" w:w="2088"/>
            <w:shd w:val="clear" w:fill="FAFAFA"/>
          </w:tcPr>
          <w:p>
            <w:pPr>
              <w:spacing w:after="40"/>
            </w:pPr>
            <w:r>
              <w:rPr>
                <w:rFonts w:ascii="Consolas" w:hAnsi="Consolas" w:cs="Consolas"/>
                <w:b/>
                <w:sz w:val="17"/>
              </w:rPr>
              <w:t>hangupCause</w:t>
            </w:r>
          </w:p>
        </w:tc>
        <w:tc>
          <w:tcPr>
            <w:tcW w:type="dxa" w:w="2016"/>
            <w:shd w:val="clear" w:fill="FAFAFA"/>
          </w:tcPr>
          <w:p>
            <w:pPr>
              <w:spacing w:after="40"/>
            </w:pPr>
            <w:r>
              <w:rPr>
                <w:sz w:val="18"/>
              </w:rPr>
              <w:t>Reason for Hangup</w:t>
            </w:r>
          </w:p>
        </w:tc>
        <w:tc>
          <w:tcPr>
            <w:tcW w:type="dxa" w:w="5256"/>
            <w:shd w:val="clear" w:fill="FAFAFA"/>
          </w:tcPr>
          <w:p>
            <w:pPr>
              <w:spacing w:after="40"/>
            </w:pPr>
            <w:r>
              <w:rPr>
                <w:sz w:val="18"/>
              </w:rPr>
              <w:t>How the interaction concluded, for example HANGUP:CALLER, HANGUP:AGENT or HANGUP:SYSTEM.</w:t>
            </w:r>
          </w:p>
        </w:tc>
      </w:tr>
      <w:tr>
        <w:trPr>
          <w:cantSplit/>
        </w:trPr>
        <w:tc>
          <w:tcPr>
            <w:tcW w:type="dxa" w:w="2088"/>
          </w:tcPr>
          <w:p>
            <w:pPr>
              <w:spacing w:after="40"/>
            </w:pPr>
            <w:r>
              <w:rPr>
                <w:rFonts w:ascii="Consolas" w:hAnsi="Consolas" w:cs="Consolas"/>
                <w:b/>
                <w:sz w:val="17"/>
              </w:rPr>
              <w:t>callType</w:t>
            </w:r>
          </w:p>
        </w:tc>
        <w:tc>
          <w:tcPr>
            <w:tcW w:type="dxa" w:w="2016"/>
          </w:tcPr>
          <w:p>
            <w:pPr>
              <w:spacing w:after="40"/>
            </w:pPr>
            <w:r>
              <w:rPr>
                <w:sz w:val="18"/>
              </w:rPr>
              <w:t>Call Type</w:t>
            </w:r>
          </w:p>
        </w:tc>
        <w:tc>
          <w:tcPr>
            <w:tcW w:type="dxa" w:w="5256"/>
          </w:tcPr>
          <w:p>
            <w:pPr>
              <w:spacing w:after="40"/>
            </w:pPr>
            <w:r>
              <w:rPr>
                <w:sz w:val="18"/>
              </w:rPr>
              <w:t>The type of interaction, based on the Queue Classifications configured in Admin, for example Customer Service or Troubleshooting. Values are configured per account, so this is not a fixed list.</w:t>
            </w:r>
          </w:p>
        </w:tc>
      </w:tr>
      <w:tr>
        <w:trPr>
          <w:cantSplit/>
        </w:trPr>
        <w:tc>
          <w:tcPr>
            <w:tcW w:type="dxa" w:w="2088"/>
            <w:shd w:val="clear" w:fill="FAFAFA"/>
          </w:tcPr>
          <w:p>
            <w:pPr>
              <w:spacing w:after="40"/>
            </w:pPr>
            <w:r>
              <w:rPr>
                <w:rFonts w:ascii="Consolas" w:hAnsi="Consolas" w:cs="Consolas"/>
                <w:b/>
                <w:sz w:val="17"/>
              </w:rPr>
              <w:t>endType</w:t>
            </w:r>
          </w:p>
        </w:tc>
        <w:tc>
          <w:tcPr>
            <w:tcW w:type="dxa" w:w="2016"/>
            <w:shd w:val="clear" w:fill="FAFAFA"/>
          </w:tcPr>
          <w:p>
            <w:pPr>
              <w:spacing w:after="40"/>
            </w:pPr>
            <w:r>
              <w:rPr>
                <w:sz w:val="18"/>
              </w:rPr>
              <w:t>End Type</w:t>
            </w:r>
          </w:p>
        </w:tc>
        <w:tc>
          <w:tcPr>
            <w:tcW w:type="dxa" w:w="5256"/>
            <w:shd w:val="clear" w:fill="FAFAFA"/>
          </w:tcPr>
          <w:p>
            <w:pPr>
              <w:spacing w:after="40"/>
            </w:pPr>
            <w:r>
              <w:rPr>
                <w:sz w:val="18"/>
              </w:rPr>
              <w:t>The result of the interaction, based on the Call Type, for example No Answer or Referred to Other Contact. Also configured per account.</w:t>
            </w:r>
          </w:p>
        </w:tc>
      </w:tr>
      <w:tr>
        <w:trPr>
          <w:cantSplit/>
        </w:trPr>
        <w:tc>
          <w:tcPr>
            <w:tcW w:type="dxa" w:w="2088"/>
          </w:tcPr>
          <w:p>
            <w:pPr>
              <w:spacing w:after="40"/>
            </w:pPr>
            <w:r>
              <w:rPr>
                <w:rFonts w:ascii="Consolas" w:hAnsi="Consolas" w:cs="Consolas"/>
                <w:b/>
                <w:sz w:val="17"/>
              </w:rPr>
              <w:t>messages</w:t>
            </w:r>
          </w:p>
        </w:tc>
        <w:tc>
          <w:tcPr>
            <w:tcW w:type="dxa" w:w="2016"/>
          </w:tcPr>
          <w:p>
            <w:pPr>
              <w:spacing w:after="40"/>
            </w:pPr>
            <w:r>
              <w:rPr>
                <w:sz w:val="18"/>
              </w:rPr>
              <w:t>Messages</w:t>
            </w:r>
          </w:p>
        </w:tc>
        <w:tc>
          <w:tcPr>
            <w:tcW w:type="dxa" w:w="5256"/>
          </w:tcPr>
          <w:p>
            <w:pPr>
              <w:spacing w:after="40"/>
            </w:pPr>
            <w:r>
              <w:rPr>
                <w:sz w:val="18"/>
              </w:rPr>
              <w:t>1 where a messaging channel such as webchat or SMS was used during the interaction; 0 otherwise.</w:t>
            </w:r>
          </w:p>
        </w:tc>
      </w:tr>
    </w:tbl>
    <w:p/>
    <w:p>
      <w:pPr>
        <w:pStyle w:val="Heading2"/>
      </w:pPr>
      <w:r>
        <w:rPr>
          <w:rFonts w:ascii="Helvetica Neue" w:hAnsi="Helvetica Neue" w:cs="Helvetica Neue"/>
          <w:color w:val="050508"/>
        </w:rPr>
        <w:t>4.8  Review flags</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flagged</w:t>
            </w:r>
          </w:p>
        </w:tc>
        <w:tc>
          <w:tcPr>
            <w:tcW w:type="dxa" w:w="2016"/>
          </w:tcPr>
          <w:p>
            <w:pPr>
              <w:spacing w:after="40"/>
            </w:pPr>
            <w:r>
              <w:rPr>
                <w:sz w:val="18"/>
              </w:rPr>
              <w:t>Flagged</w:t>
            </w:r>
          </w:p>
        </w:tc>
        <w:tc>
          <w:tcPr>
            <w:tcW w:type="dxa" w:w="5256"/>
          </w:tcPr>
          <w:p>
            <w:pPr>
              <w:spacing w:after="40"/>
            </w:pPr>
            <w:r>
              <w:rPr>
                <w:sz w:val="18"/>
              </w:rPr>
              <w:t>1 where an agent or supervisor has flagged the interaction for review or coaching; 0 otherwise.</w:t>
            </w:r>
          </w:p>
        </w:tc>
      </w:tr>
      <w:tr>
        <w:trPr>
          <w:cantSplit/>
        </w:trPr>
        <w:tc>
          <w:tcPr>
            <w:tcW w:type="dxa" w:w="2088"/>
            <w:shd w:val="clear" w:fill="FAFAFA"/>
          </w:tcPr>
          <w:p>
            <w:pPr>
              <w:spacing w:after="40"/>
            </w:pPr>
            <w:r>
              <w:rPr>
                <w:rFonts w:ascii="Consolas" w:hAnsi="Consolas" w:cs="Consolas"/>
                <w:b/>
                <w:sz w:val="17"/>
              </w:rPr>
              <w:t>annotated</w:t>
            </w:r>
          </w:p>
        </w:tc>
        <w:tc>
          <w:tcPr>
            <w:tcW w:type="dxa" w:w="2016"/>
            <w:shd w:val="clear" w:fill="FAFAFA"/>
          </w:tcPr>
          <w:p>
            <w:pPr>
              <w:spacing w:after="40"/>
            </w:pPr>
            <w:r>
              <w:rPr>
                <w:sz w:val="18"/>
              </w:rPr>
              <w:t>Annotated</w:t>
            </w:r>
          </w:p>
        </w:tc>
        <w:tc>
          <w:tcPr>
            <w:tcW w:type="dxa" w:w="5256"/>
            <w:shd w:val="clear" w:fill="FAFAFA"/>
          </w:tcPr>
          <w:p>
            <w:pPr>
              <w:spacing w:after="40"/>
            </w:pPr>
            <w:r>
              <w:rPr>
                <w:sz w:val="18"/>
              </w:rPr>
              <w:t>1 where the interaction has coaching annotations or notes attached; 0 otherwise.</w:t>
            </w:r>
          </w:p>
        </w:tc>
      </w:tr>
    </w:tbl>
    <w:p/>
    <w:p>
      <w:pPr>
        <w:pStyle w:val="Heading2"/>
      </w:pPr>
      <w:r>
        <w:rPr>
          <w:rFonts w:ascii="Helvetica Neue" w:hAnsi="Helvetica Neue" w:cs="Helvetica Neue"/>
          <w:color w:val="050508"/>
        </w:rPr>
        <w:t>4.9  Recording and transcription</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mixmonFileName</w:t>
            </w:r>
          </w:p>
        </w:tc>
        <w:tc>
          <w:tcPr>
            <w:tcW w:type="dxa" w:w="2016"/>
          </w:tcPr>
          <w:p>
            <w:pPr>
              <w:spacing w:after="40"/>
            </w:pPr>
            <w:r>
              <w:rPr>
                <w:sz w:val="18"/>
              </w:rPr>
              <w:t>Sound File Name</w:t>
            </w:r>
          </w:p>
        </w:tc>
        <w:tc>
          <w:tcPr>
            <w:tcW w:type="dxa" w:w="5256"/>
          </w:tcPr>
          <w:p>
            <w:pPr>
              <w:spacing w:after="40"/>
            </w:pPr>
            <w:r>
              <w:rPr>
                <w:sz w:val="18"/>
              </w:rPr>
              <w:t>File name of the interaction’s call recording, in the form context-queueCallManagerID.wav.</w:t>
            </w:r>
          </w:p>
        </w:tc>
      </w:tr>
      <w:tr>
        <w:trPr>
          <w:cantSplit/>
        </w:trPr>
        <w:tc>
          <w:tcPr>
            <w:tcW w:type="dxa" w:w="2088"/>
            <w:shd w:val="clear" w:fill="FAFAFA"/>
          </w:tcPr>
          <w:p>
            <w:pPr>
              <w:spacing w:after="40"/>
            </w:pPr>
            <w:r>
              <w:rPr>
                <w:rFonts w:ascii="Consolas" w:hAnsi="Consolas" w:cs="Consolas"/>
                <w:b/>
                <w:sz w:val="17"/>
              </w:rPr>
              <w:t>transcriptionStatus</w:t>
            </w:r>
          </w:p>
        </w:tc>
        <w:tc>
          <w:tcPr>
            <w:tcW w:type="dxa" w:w="2016"/>
            <w:shd w:val="clear" w:fill="FAFAFA"/>
          </w:tcPr>
          <w:p>
            <w:pPr>
              <w:spacing w:after="40"/>
            </w:pPr>
            <w:r>
              <w:rPr>
                <w:sz w:val="18"/>
              </w:rPr>
              <w:t>Transcription Status</w:t>
            </w:r>
          </w:p>
        </w:tc>
        <w:tc>
          <w:tcPr>
            <w:tcW w:type="dxa" w:w="5256"/>
            <w:shd w:val="clear" w:fill="FAFAFA"/>
          </w:tcPr>
          <w:p>
            <w:pPr>
              <w:spacing w:after="40"/>
            </w:pPr>
            <w:r>
              <w:rPr>
                <w:sz w:val="18"/>
              </w:rPr>
              <w:t>Whether a transcription exists for the record: 0 = not transcribed, 1 = transcribed, 2 = error.</w:t>
            </w:r>
          </w:p>
        </w:tc>
      </w:tr>
      <w:tr>
        <w:trPr>
          <w:cantSplit/>
        </w:trPr>
        <w:tc>
          <w:tcPr>
            <w:tcW w:type="dxa" w:w="2088"/>
          </w:tcPr>
          <w:p>
            <w:pPr>
              <w:spacing w:after="40"/>
            </w:pPr>
            <w:r>
              <w:rPr>
                <w:rFonts w:ascii="Consolas" w:hAnsi="Consolas" w:cs="Consolas"/>
                <w:b/>
                <w:sz w:val="17"/>
              </w:rPr>
              <w:t>transcription</w:t>
            </w:r>
          </w:p>
        </w:tc>
        <w:tc>
          <w:tcPr>
            <w:tcW w:type="dxa" w:w="2016"/>
          </w:tcPr>
          <w:p>
            <w:pPr>
              <w:spacing w:after="40"/>
            </w:pPr>
            <w:r>
              <w:rPr>
                <w:sz w:val="18"/>
              </w:rPr>
              <w:t>Transcription</w:t>
            </w:r>
          </w:p>
        </w:tc>
        <w:tc>
          <w:tcPr>
            <w:tcW w:type="dxa" w:w="5256"/>
          </w:tcPr>
          <w:p>
            <w:pPr>
              <w:spacing w:after="40"/>
            </w:pPr>
            <w:r>
              <w:rPr>
                <w:sz w:val="18"/>
              </w:rPr>
              <w:t>Full text transcription of the interaction, returned as speaker-labeled lines (Agent: and Customer:) separated by line breaks.</w:t>
            </w:r>
          </w:p>
        </w:tc>
      </w:tr>
      <w:tr>
        <w:trPr>
          <w:cantSplit/>
        </w:trPr>
        <w:tc>
          <w:tcPr>
            <w:tcW w:type="dxa" w:w="2088"/>
            <w:shd w:val="clear" w:fill="FAFAFA"/>
          </w:tcPr>
          <w:p>
            <w:pPr>
              <w:spacing w:after="40"/>
            </w:pPr>
            <w:r>
              <w:rPr>
                <w:rFonts w:ascii="Consolas" w:hAnsi="Consolas" w:cs="Consolas"/>
                <w:b/>
                <w:sz w:val="17"/>
              </w:rPr>
              <w:t>transcriptionShort</w:t>
            </w:r>
          </w:p>
        </w:tc>
        <w:tc>
          <w:tcPr>
            <w:tcW w:type="dxa" w:w="2016"/>
            <w:shd w:val="clear" w:fill="FAFAFA"/>
          </w:tcPr>
          <w:p>
            <w:pPr>
              <w:spacing w:after="40"/>
            </w:pPr>
            <w:r>
              <w:rPr>
                <w:sz w:val="18"/>
              </w:rPr>
              <w:t>TranscriptionShort</w:t>
            </w:r>
          </w:p>
        </w:tc>
        <w:tc>
          <w:tcPr>
            <w:tcW w:type="dxa" w:w="5256"/>
            <w:shd w:val="clear" w:fill="FAFAFA"/>
          </w:tcPr>
          <w:p>
            <w:pPr>
              <w:spacing w:after="40"/>
            </w:pPr>
            <w:r>
              <w:rPr>
                <w:sz w:val="18"/>
              </w:rPr>
              <w:t>A preview of the transcription, consisting of its opening lines.</w:t>
            </w:r>
          </w:p>
        </w:tc>
      </w:tr>
      <w:tr>
        <w:trPr>
          <w:cantSplit/>
        </w:trPr>
        <w:tc>
          <w:tcPr>
            <w:tcW w:type="dxa" w:w="2088"/>
          </w:tcPr>
          <w:p>
            <w:pPr>
              <w:spacing w:after="40"/>
            </w:pPr>
            <w:r>
              <w:rPr>
                <w:rFonts w:ascii="Consolas" w:hAnsi="Consolas" w:cs="Consolas"/>
                <w:b/>
                <w:sz w:val="17"/>
              </w:rPr>
              <w:t>agentTranscription</w:t>
            </w:r>
          </w:p>
        </w:tc>
        <w:tc>
          <w:tcPr>
            <w:tcW w:type="dxa" w:w="2016"/>
          </w:tcPr>
          <w:p>
            <w:pPr>
              <w:spacing w:after="40"/>
            </w:pPr>
            <w:r>
              <w:rPr>
                <w:sz w:val="18"/>
              </w:rPr>
            </w:r>
          </w:p>
        </w:tc>
        <w:tc>
          <w:tcPr>
            <w:tcW w:type="dxa" w:w="5256"/>
          </w:tcPr>
          <w:p>
            <w:pPr>
              <w:spacing w:after="40"/>
            </w:pPr>
            <w:r>
              <w:rPr>
                <w:sz w:val="18"/>
              </w:rPr>
              <w:t>The agent side of the conversation only, with speaker labels removed.</w:t>
            </w:r>
          </w:p>
        </w:tc>
      </w:tr>
      <w:tr>
        <w:trPr>
          <w:cantSplit/>
        </w:trPr>
        <w:tc>
          <w:tcPr>
            <w:tcW w:type="dxa" w:w="2088"/>
            <w:shd w:val="clear" w:fill="FAFAFA"/>
          </w:tcPr>
          <w:p>
            <w:pPr>
              <w:spacing w:after="40"/>
            </w:pPr>
            <w:r>
              <w:rPr>
                <w:rFonts w:ascii="Consolas" w:hAnsi="Consolas" w:cs="Consolas"/>
                <w:b/>
                <w:sz w:val="17"/>
              </w:rPr>
              <w:t>customerTranscription</w:t>
            </w:r>
          </w:p>
        </w:tc>
        <w:tc>
          <w:tcPr>
            <w:tcW w:type="dxa" w:w="2016"/>
            <w:shd w:val="clear" w:fill="FAFAFA"/>
          </w:tcPr>
          <w:p>
            <w:pPr>
              <w:spacing w:after="40"/>
            </w:pPr>
            <w:r>
              <w:rPr>
                <w:sz w:val="18"/>
              </w:rPr>
            </w:r>
          </w:p>
        </w:tc>
        <w:tc>
          <w:tcPr>
            <w:tcW w:type="dxa" w:w="5256"/>
            <w:shd w:val="clear" w:fill="FAFAFA"/>
          </w:tcPr>
          <w:p>
            <w:pPr>
              <w:spacing w:after="40"/>
            </w:pPr>
            <w:r>
              <w:rPr>
                <w:sz w:val="18"/>
              </w:rPr>
              <w:t>The customer side of the conversation only, with speaker labels removed.</w:t>
            </w:r>
          </w:p>
        </w:tc>
      </w:tr>
    </w:tbl>
    <w:p/>
    <w:p>
      <w:pPr>
        <w:pStyle w:val="Heading2"/>
      </w:pPr>
      <w:r>
        <w:rPr>
          <w:rFonts w:ascii="Helvetica Neue" w:hAnsi="Helvetica Neue" w:cs="Helvetica Neue"/>
          <w:color w:val="050508"/>
        </w:rPr>
        <w:t>4.10  Customer satisfaction</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CSAT</w:t>
            </w:r>
          </w:p>
        </w:tc>
        <w:tc>
          <w:tcPr>
            <w:tcW w:type="dxa" w:w="2016"/>
          </w:tcPr>
          <w:p>
            <w:pPr>
              <w:spacing w:after="40"/>
            </w:pPr>
            <w:r>
              <w:rPr>
                <w:sz w:val="18"/>
              </w:rPr>
              <w:t>CSAT</w:t>
            </w:r>
          </w:p>
        </w:tc>
        <w:tc>
          <w:tcPr>
            <w:tcW w:type="dxa" w:w="5256"/>
          </w:tcPr>
          <w:p>
            <w:pPr>
              <w:spacing w:after="40"/>
            </w:pPr>
            <w:r>
              <w:rPr>
                <w:sz w:val="18"/>
              </w:rPr>
              <w:t>The CSAT score the customer gave the interaction, on a scale of 1 to 5. NULL where no score was recorded.</w:t>
            </w:r>
          </w:p>
        </w:tc>
      </w:tr>
      <w:tr>
        <w:trPr>
          <w:cantSplit/>
        </w:trPr>
        <w:tc>
          <w:tcPr>
            <w:tcW w:type="dxa" w:w="2088"/>
            <w:shd w:val="clear" w:fill="FAFAFA"/>
          </w:tcPr>
          <w:p>
            <w:pPr>
              <w:spacing w:after="40"/>
            </w:pPr>
            <w:r>
              <w:rPr>
                <w:rFonts w:ascii="Consolas" w:hAnsi="Consolas" w:cs="Consolas"/>
                <w:b/>
                <w:sz w:val="17"/>
              </w:rPr>
              <w:t>CSATMethod</w:t>
            </w:r>
          </w:p>
        </w:tc>
        <w:tc>
          <w:tcPr>
            <w:tcW w:type="dxa" w:w="2016"/>
            <w:shd w:val="clear" w:fill="FAFAFA"/>
          </w:tcPr>
          <w:p>
            <w:pPr>
              <w:spacing w:after="40"/>
            </w:pPr>
            <w:r>
              <w:rPr>
                <w:sz w:val="18"/>
              </w:rPr>
              <w:t>CSAT Method</w:t>
            </w:r>
          </w:p>
        </w:tc>
        <w:tc>
          <w:tcPr>
            <w:tcW w:type="dxa" w:w="5256"/>
            <w:shd w:val="clear" w:fill="FAFAFA"/>
          </w:tcPr>
          <w:p>
            <w:pPr>
              <w:spacing w:after="40"/>
            </w:pPr>
            <w:r>
              <w:rPr>
                <w:sz w:val="18"/>
              </w:rPr>
              <w:t>How the CSAT survey was delivered, for example email, SMS, web or phone.</w:t>
            </w:r>
          </w:p>
        </w:tc>
      </w:tr>
      <w:tr>
        <w:trPr>
          <w:cantSplit/>
        </w:trPr>
        <w:tc>
          <w:tcPr>
            <w:tcW w:type="dxa" w:w="2088"/>
          </w:tcPr>
          <w:p>
            <w:pPr>
              <w:spacing w:after="40"/>
            </w:pPr>
            <w:r>
              <w:rPr>
                <w:rFonts w:ascii="Consolas" w:hAnsi="Consolas" w:cs="Consolas"/>
                <w:b/>
                <w:sz w:val="17"/>
              </w:rPr>
              <w:t>emailResponse</w:t>
            </w:r>
          </w:p>
        </w:tc>
        <w:tc>
          <w:tcPr>
            <w:tcW w:type="dxa" w:w="2016"/>
          </w:tcPr>
          <w:p>
            <w:pPr>
              <w:spacing w:after="40"/>
            </w:pPr>
            <w:r>
              <w:rPr>
                <w:sz w:val="18"/>
              </w:rPr>
              <w:t>Email Response</w:t>
            </w:r>
          </w:p>
        </w:tc>
        <w:tc>
          <w:tcPr>
            <w:tcW w:type="dxa" w:w="5256"/>
          </w:tcPr>
          <w:p>
            <w:pPr>
              <w:spacing w:after="40"/>
            </w:pPr>
            <w:r>
              <w:rPr>
                <w:sz w:val="18"/>
              </w:rPr>
              <w:t>The status of an outbound email, for example sent or opened.</w:t>
            </w:r>
          </w:p>
        </w:tc>
      </w:tr>
    </w:tbl>
    <w:p/>
    <w:p>
      <w:r>
        <w:br w:type="page"/>
      </w:r>
    </w:p>
    <w:p>
      <w:pPr>
        <w:pStyle w:val="Heading1"/>
        <w:pBdr>
          <w:bottom w:val="single" w:sz="8" w:space="4" w:color="BAC0CE"/>
        </w:pBdr>
      </w:pPr>
      <w:r>
        <w:rPr>
          <w:rFonts w:ascii="Helvetica Neue" w:hAnsi="Helvetica Neue" w:cs="Helvetica Neue"/>
          <w:color w:val="050508"/>
        </w:rPr>
        <w:t>5.  queueCDRLegs: segment records</w:t>
      </w:r>
    </w:p>
    <w:p>
      <w:pPr>
        <w:spacing w:after="120"/>
      </w:pPr>
      <w:r>
        <w:rPr>
          <w:b w:val="0"/>
          <w:i/>
          <w:sz w:val="19"/>
        </w:rPr>
        <w:t>One row per segment of an interaction.</w:t>
      </w:r>
    </w:p>
    <w:p>
      <w:pPr>
        <w:pStyle w:val="Heading2"/>
      </w:pPr>
      <w:r>
        <w:rPr>
          <w:rFonts w:ascii="Helvetica Neue" w:hAnsi="Helvetica Neue" w:cs="Helvetica Neue"/>
          <w:color w:val="050508"/>
        </w:rPr>
        <w:t>5.1  Identity and keys</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queueCDRLegID</w:t>
            </w:r>
          </w:p>
        </w:tc>
        <w:tc>
          <w:tcPr>
            <w:tcW w:type="dxa" w:w="2016"/>
          </w:tcPr>
          <w:p>
            <w:pPr>
              <w:spacing w:after="40"/>
            </w:pPr>
            <w:r>
              <w:rPr>
                <w:sz w:val="18"/>
              </w:rPr>
              <w:t>Queue CDR Leg ID</w:t>
            </w:r>
          </w:p>
        </w:tc>
        <w:tc>
          <w:tcPr>
            <w:tcW w:type="dxa" w:w="5256"/>
          </w:tcPr>
          <w:p>
            <w:pPr>
              <w:spacing w:after="40"/>
            </w:pPr>
            <w:r>
              <w:rPr>
                <w:sz w:val="18"/>
              </w:rPr>
              <w:t>A unique numeric code associated with each interaction segment.</w:t>
            </w:r>
          </w:p>
        </w:tc>
      </w:tr>
      <w:tr>
        <w:trPr>
          <w:cantSplit/>
        </w:trPr>
        <w:tc>
          <w:tcPr>
            <w:tcW w:type="dxa" w:w="2088"/>
            <w:shd w:val="clear" w:fill="FAFAFA"/>
          </w:tcPr>
          <w:p>
            <w:pPr>
              <w:spacing w:after="40"/>
            </w:pPr>
            <w:r>
              <w:rPr>
                <w:rFonts w:ascii="Consolas" w:hAnsi="Consolas" w:cs="Consolas"/>
                <w:b/>
                <w:sz w:val="17"/>
              </w:rPr>
              <w:t>queueCallManagerID</w:t>
            </w:r>
          </w:p>
        </w:tc>
        <w:tc>
          <w:tcPr>
            <w:tcW w:type="dxa" w:w="2016"/>
            <w:shd w:val="clear" w:fill="FAFAFA"/>
          </w:tcPr>
          <w:p>
            <w:pPr>
              <w:spacing w:after="40"/>
            </w:pPr>
            <w:r>
              <w:rPr>
                <w:sz w:val="18"/>
              </w:rPr>
              <w:t>Queue Call Manager ID</w:t>
            </w:r>
          </w:p>
        </w:tc>
        <w:tc>
          <w:tcPr>
            <w:tcW w:type="dxa" w:w="5256"/>
            <w:shd w:val="clear" w:fill="FAFAFA"/>
          </w:tcPr>
          <w:p>
            <w:pPr>
              <w:spacing w:after="40"/>
            </w:pPr>
            <w:r>
              <w:rPr>
                <w:sz w:val="18"/>
              </w:rPr>
              <w:t>The interaction this segment belongs to, and the join key back to queueCDR.</w:t>
            </w:r>
          </w:p>
        </w:tc>
      </w:tr>
      <w:tr>
        <w:trPr>
          <w:cantSplit/>
        </w:trPr>
        <w:tc>
          <w:tcPr>
            <w:tcW w:type="dxa" w:w="2088"/>
          </w:tcPr>
          <w:p>
            <w:pPr>
              <w:spacing w:after="40"/>
            </w:pPr>
            <w:r>
              <w:rPr>
                <w:rFonts w:ascii="Consolas" w:hAnsi="Consolas" w:cs="Consolas"/>
                <w:b/>
                <w:sz w:val="17"/>
              </w:rPr>
              <w:t>segmentNumber</w:t>
            </w:r>
          </w:p>
        </w:tc>
        <w:tc>
          <w:tcPr>
            <w:tcW w:type="dxa" w:w="2016"/>
          </w:tcPr>
          <w:p>
            <w:pPr>
              <w:spacing w:after="40"/>
            </w:pPr>
            <w:r>
              <w:rPr>
                <w:sz w:val="18"/>
              </w:rPr>
              <w:t>Segment Number</w:t>
            </w:r>
          </w:p>
        </w:tc>
        <w:tc>
          <w:tcPr>
            <w:tcW w:type="dxa" w:w="5256"/>
          </w:tcPr>
          <w:p>
            <w:pPr>
              <w:spacing w:after="40"/>
            </w:pPr>
            <w:r>
              <w:rPr>
                <w:sz w:val="18"/>
              </w:rPr>
              <w:t>A number denoting the order of individual segments within an interaction, beginning at 1.</w:t>
            </w:r>
          </w:p>
        </w:tc>
      </w:tr>
      <w:tr>
        <w:trPr>
          <w:cantSplit/>
        </w:trPr>
        <w:tc>
          <w:tcPr>
            <w:tcW w:type="dxa" w:w="2088"/>
            <w:shd w:val="clear" w:fill="FAFAFA"/>
          </w:tcPr>
          <w:p>
            <w:pPr>
              <w:spacing w:after="40"/>
            </w:pPr>
            <w:r>
              <w:rPr>
                <w:rFonts w:ascii="Consolas" w:hAnsi="Consolas" w:cs="Consolas"/>
                <w:b/>
                <w:sz w:val="17"/>
              </w:rPr>
              <w:t>context</w:t>
            </w:r>
          </w:p>
        </w:tc>
        <w:tc>
          <w:tcPr>
            <w:tcW w:type="dxa" w:w="2016"/>
            <w:shd w:val="clear" w:fill="FAFAFA"/>
          </w:tcPr>
          <w:p>
            <w:pPr>
              <w:spacing w:after="40"/>
            </w:pPr>
            <w:r>
              <w:rPr>
                <w:sz w:val="18"/>
              </w:rPr>
              <w:t>Context</w:t>
            </w:r>
          </w:p>
        </w:tc>
        <w:tc>
          <w:tcPr>
            <w:tcW w:type="dxa" w:w="5256"/>
            <w:shd w:val="clear" w:fill="FAFAFA"/>
          </w:tcPr>
          <w:p>
            <w:pPr>
              <w:spacing w:after="40"/>
            </w:pPr>
            <w:r>
              <w:rPr>
                <w:sz w:val="18"/>
              </w:rPr>
              <w:t>The Sharpen account identifier the segment belongs to.</w:t>
            </w:r>
          </w:p>
        </w:tc>
      </w:tr>
    </w:tbl>
    <w:p/>
    <w:p>
      <w:pPr>
        <w:pStyle w:val="Heading2"/>
      </w:pPr>
      <w:r>
        <w:rPr>
          <w:rFonts w:ascii="Helvetica Neue" w:hAnsi="Helvetica Neue" w:cs="Helvetica Neue"/>
          <w:color w:val="050508"/>
        </w:rPr>
        <w:t>5.2  Queue and agent</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queueID</w:t>
            </w:r>
          </w:p>
        </w:tc>
        <w:tc>
          <w:tcPr>
            <w:tcW w:type="dxa" w:w="2016"/>
          </w:tcPr>
          <w:p>
            <w:pPr>
              <w:spacing w:after="40"/>
            </w:pPr>
            <w:r>
              <w:rPr>
                <w:sz w:val="18"/>
              </w:rPr>
              <w:t>Queue ID</w:t>
            </w:r>
          </w:p>
        </w:tc>
        <w:tc>
          <w:tcPr>
            <w:tcW w:type="dxa" w:w="5256"/>
          </w:tcPr>
          <w:p>
            <w:pPr>
              <w:spacing w:after="40"/>
            </w:pPr>
            <w:r>
              <w:rPr>
                <w:sz w:val="18"/>
              </w:rPr>
              <w:t>The ID number of the queue where the segment landed.</w:t>
            </w:r>
          </w:p>
        </w:tc>
      </w:tr>
      <w:tr>
        <w:trPr>
          <w:cantSplit/>
        </w:trPr>
        <w:tc>
          <w:tcPr>
            <w:tcW w:type="dxa" w:w="2088"/>
            <w:shd w:val="clear" w:fill="FAFAFA"/>
          </w:tcPr>
          <w:p>
            <w:pPr>
              <w:spacing w:after="40"/>
            </w:pPr>
            <w:r>
              <w:rPr>
                <w:rFonts w:ascii="Consolas" w:hAnsi="Consolas" w:cs="Consolas"/>
                <w:b/>
                <w:sz w:val="17"/>
              </w:rPr>
              <w:t>queueName</w:t>
            </w:r>
          </w:p>
        </w:tc>
        <w:tc>
          <w:tcPr>
            <w:tcW w:type="dxa" w:w="2016"/>
            <w:shd w:val="clear" w:fill="FAFAFA"/>
          </w:tcPr>
          <w:p>
            <w:pPr>
              <w:spacing w:after="40"/>
            </w:pPr>
            <w:r>
              <w:rPr>
                <w:sz w:val="18"/>
              </w:rPr>
              <w:t>Queue Name</w:t>
            </w:r>
          </w:p>
        </w:tc>
        <w:tc>
          <w:tcPr>
            <w:tcW w:type="dxa" w:w="5256"/>
            <w:shd w:val="clear" w:fill="FAFAFA"/>
          </w:tcPr>
          <w:p>
            <w:pPr>
              <w:spacing w:after="40"/>
            </w:pPr>
            <w:r>
              <w:rPr>
                <w:sz w:val="18"/>
              </w:rPr>
              <w:t>The name of the queue where the segment landed.</w:t>
            </w:r>
          </w:p>
        </w:tc>
      </w:tr>
      <w:tr>
        <w:trPr>
          <w:cantSplit/>
        </w:trPr>
        <w:tc>
          <w:tcPr>
            <w:tcW w:type="dxa" w:w="2088"/>
          </w:tcPr>
          <w:p>
            <w:pPr>
              <w:spacing w:after="40"/>
            </w:pPr>
            <w:r>
              <w:rPr>
                <w:rFonts w:ascii="Consolas" w:hAnsi="Consolas" w:cs="Consolas"/>
                <w:b/>
                <w:sz w:val="17"/>
              </w:rPr>
              <w:t>username</w:t>
            </w:r>
          </w:p>
        </w:tc>
        <w:tc>
          <w:tcPr>
            <w:tcW w:type="dxa" w:w="2016"/>
          </w:tcPr>
          <w:p>
            <w:pPr>
              <w:spacing w:after="40"/>
            </w:pPr>
            <w:r>
              <w:rPr>
                <w:sz w:val="18"/>
              </w:rPr>
              <w:t>Username</w:t>
            </w:r>
          </w:p>
        </w:tc>
        <w:tc>
          <w:tcPr>
            <w:tcW w:type="dxa" w:w="5256"/>
          </w:tcPr>
          <w:p>
            <w:pPr>
              <w:spacing w:after="40"/>
            </w:pPr>
            <w:r>
              <w:rPr>
                <w:sz w:val="18"/>
              </w:rPr>
              <w:t>The identifier of the agent who handled this segment, combining extension and account context. Empty where the segment was never answered, which marks an abandoned or flowed-out segment.</w:t>
            </w:r>
          </w:p>
        </w:tc>
      </w:tr>
      <w:tr>
        <w:trPr>
          <w:cantSplit/>
        </w:trPr>
        <w:tc>
          <w:tcPr>
            <w:tcW w:type="dxa" w:w="2088"/>
            <w:shd w:val="clear" w:fill="FAFAFA"/>
          </w:tcPr>
          <w:p>
            <w:pPr>
              <w:spacing w:after="40"/>
            </w:pPr>
            <w:r>
              <w:rPr>
                <w:rFonts w:ascii="Consolas" w:hAnsi="Consolas" w:cs="Consolas"/>
                <w:b/>
                <w:sz w:val="17"/>
              </w:rPr>
              <w:t>agentName</w:t>
            </w:r>
          </w:p>
        </w:tc>
        <w:tc>
          <w:tcPr>
            <w:tcW w:type="dxa" w:w="2016"/>
            <w:shd w:val="clear" w:fill="FAFAFA"/>
          </w:tcPr>
          <w:p>
            <w:pPr>
              <w:spacing w:after="40"/>
            </w:pPr>
            <w:r>
              <w:rPr>
                <w:sz w:val="18"/>
              </w:rPr>
              <w:t>Agent Name</w:t>
            </w:r>
          </w:p>
        </w:tc>
        <w:tc>
          <w:tcPr>
            <w:tcW w:type="dxa" w:w="5256"/>
            <w:shd w:val="clear" w:fill="FAFAFA"/>
          </w:tcPr>
          <w:p>
            <w:pPr>
              <w:spacing w:after="40"/>
            </w:pPr>
            <w:r>
              <w:rPr>
                <w:sz w:val="18"/>
              </w:rPr>
              <w:t>The agent who handled this specific segment.</w:t>
            </w:r>
          </w:p>
        </w:tc>
      </w:tr>
      <w:tr>
        <w:trPr>
          <w:cantSplit/>
        </w:trPr>
        <w:tc>
          <w:tcPr>
            <w:tcW w:type="dxa" w:w="2088"/>
          </w:tcPr>
          <w:p>
            <w:pPr>
              <w:spacing w:after="40"/>
            </w:pPr>
            <w:r>
              <w:rPr>
                <w:rFonts w:ascii="Consolas" w:hAnsi="Consolas" w:cs="Consolas"/>
                <w:b/>
                <w:sz w:val="17"/>
              </w:rPr>
              <w:t>userGroupID</w:t>
            </w:r>
          </w:p>
        </w:tc>
        <w:tc>
          <w:tcPr>
            <w:tcW w:type="dxa" w:w="2016"/>
          </w:tcPr>
          <w:p>
            <w:pPr>
              <w:spacing w:after="40"/>
            </w:pPr>
            <w:r>
              <w:rPr>
                <w:sz w:val="18"/>
              </w:rPr>
              <w:t>User Group ID</w:t>
            </w:r>
          </w:p>
        </w:tc>
        <w:tc>
          <w:tcPr>
            <w:tcW w:type="dxa" w:w="5256"/>
          </w:tcPr>
          <w:p>
            <w:pPr>
              <w:spacing w:after="40"/>
            </w:pPr>
            <w:r>
              <w:rPr>
                <w:sz w:val="18"/>
              </w:rPr>
              <w:t>The unique numeric code of the agent’s User Group.</w:t>
            </w:r>
          </w:p>
        </w:tc>
      </w:tr>
    </w:tbl>
    <w:p/>
    <w:p>
      <w:pPr>
        <w:pStyle w:val="Heading2"/>
      </w:pPr>
      <w:r>
        <w:rPr>
          <w:rFonts w:ascii="Helvetica Neue" w:hAnsi="Helvetica Neue" w:cs="Helvetica Neue"/>
          <w:color w:val="050508"/>
        </w:rPr>
        <w:t>5.3  Timing and duration</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answerTime</w:t>
            </w:r>
          </w:p>
        </w:tc>
        <w:tc>
          <w:tcPr>
            <w:tcW w:type="dxa" w:w="2016"/>
          </w:tcPr>
          <w:p>
            <w:pPr>
              <w:spacing w:after="40"/>
            </w:pPr>
            <w:r>
              <w:rPr>
                <w:sz w:val="18"/>
              </w:rPr>
              <w:t>Answer Time</w:t>
            </w:r>
          </w:p>
        </w:tc>
        <w:tc>
          <w:tcPr>
            <w:tcW w:type="dxa" w:w="5256"/>
          </w:tcPr>
          <w:p>
            <w:pPr>
              <w:spacing w:after="40"/>
            </w:pPr>
            <w:r>
              <w:rPr>
                <w:sz w:val="18"/>
              </w:rPr>
              <w:t>The date and time the segment was picked up by an agent. NULL where the segment was never answered, for example an abandoned interaction or a flow-out.</w:t>
            </w:r>
          </w:p>
        </w:tc>
      </w:tr>
      <w:tr>
        <w:trPr>
          <w:cantSplit/>
        </w:trPr>
        <w:tc>
          <w:tcPr>
            <w:tcW w:type="dxa" w:w="2088"/>
            <w:shd w:val="clear" w:fill="FAFAFA"/>
          </w:tcPr>
          <w:p>
            <w:pPr>
              <w:spacing w:after="40"/>
            </w:pPr>
            <w:r>
              <w:rPr>
                <w:rFonts w:ascii="Consolas" w:hAnsi="Consolas" w:cs="Consolas"/>
                <w:b/>
                <w:sz w:val="17"/>
              </w:rPr>
              <w:t>endTime</w:t>
            </w:r>
          </w:p>
        </w:tc>
        <w:tc>
          <w:tcPr>
            <w:tcW w:type="dxa" w:w="2016"/>
            <w:shd w:val="clear" w:fill="FAFAFA"/>
          </w:tcPr>
          <w:p>
            <w:pPr>
              <w:spacing w:after="40"/>
            </w:pPr>
            <w:r>
              <w:rPr>
                <w:sz w:val="18"/>
              </w:rPr>
              <w:t>End Time</w:t>
            </w:r>
          </w:p>
        </w:tc>
        <w:tc>
          <w:tcPr>
            <w:tcW w:type="dxa" w:w="5256"/>
            <w:shd w:val="clear" w:fill="FAFAFA"/>
          </w:tcPr>
          <w:p>
            <w:pPr>
              <w:spacing w:after="40"/>
            </w:pPr>
            <w:r>
              <w:rPr>
                <w:sz w:val="18"/>
              </w:rPr>
              <w:t>The date and time the segment ended.</w:t>
            </w:r>
          </w:p>
        </w:tc>
      </w:tr>
      <w:tr>
        <w:trPr>
          <w:cantSplit/>
        </w:trPr>
        <w:tc>
          <w:tcPr>
            <w:tcW w:type="dxa" w:w="2088"/>
          </w:tcPr>
          <w:p>
            <w:pPr>
              <w:spacing w:after="40"/>
            </w:pPr>
            <w:r>
              <w:rPr>
                <w:rFonts w:ascii="Consolas" w:hAnsi="Consolas" w:cs="Consolas"/>
                <w:b/>
                <w:sz w:val="17"/>
              </w:rPr>
              <w:t>waitTime</w:t>
            </w:r>
          </w:p>
        </w:tc>
        <w:tc>
          <w:tcPr>
            <w:tcW w:type="dxa" w:w="2016"/>
          </w:tcPr>
          <w:p>
            <w:pPr>
              <w:spacing w:after="40"/>
            </w:pPr>
            <w:r>
              <w:rPr>
                <w:sz w:val="18"/>
              </w:rPr>
              <w:t>Wait Time</w:t>
            </w:r>
          </w:p>
        </w:tc>
        <w:tc>
          <w:tcPr>
            <w:tcW w:type="dxa" w:w="5256"/>
          </w:tcPr>
          <w:p>
            <w:pPr>
              <w:spacing w:after="40"/>
            </w:pPr>
            <w:r>
              <w:rPr>
                <w:sz w:val="18"/>
              </w:rPr>
              <w:t>The time the customer spent waiting during this segment. This is the field that queueCDR.holdTime aggregates.</w:t>
            </w:r>
          </w:p>
        </w:tc>
      </w:tr>
      <w:tr>
        <w:trPr>
          <w:cantSplit/>
        </w:trPr>
        <w:tc>
          <w:tcPr>
            <w:tcW w:type="dxa" w:w="2088"/>
            <w:shd w:val="clear" w:fill="FAFAFA"/>
          </w:tcPr>
          <w:p>
            <w:pPr>
              <w:spacing w:after="40"/>
            </w:pPr>
            <w:r>
              <w:rPr>
                <w:rFonts w:ascii="Consolas" w:hAnsi="Consolas" w:cs="Consolas"/>
                <w:b/>
                <w:sz w:val="17"/>
              </w:rPr>
              <w:t>agentTalkTime</w:t>
            </w:r>
          </w:p>
        </w:tc>
        <w:tc>
          <w:tcPr>
            <w:tcW w:type="dxa" w:w="2016"/>
            <w:shd w:val="clear" w:fill="FAFAFA"/>
          </w:tcPr>
          <w:p>
            <w:pPr>
              <w:spacing w:after="40"/>
            </w:pPr>
            <w:r>
              <w:rPr>
                <w:sz w:val="18"/>
              </w:rPr>
              <w:t>Agent Talk Time</w:t>
            </w:r>
          </w:p>
        </w:tc>
        <w:tc>
          <w:tcPr>
            <w:tcW w:type="dxa" w:w="5256"/>
            <w:shd w:val="clear" w:fill="FAFAFA"/>
          </w:tcPr>
          <w:p>
            <w:pPr>
              <w:spacing w:after="40"/>
            </w:pPr>
            <w:r>
              <w:rPr>
                <w:sz w:val="18"/>
              </w:rPr>
              <w:t>The time the agent spent engaging directly with the customer during this segment.</w:t>
            </w:r>
          </w:p>
        </w:tc>
      </w:tr>
      <w:tr>
        <w:trPr>
          <w:cantSplit/>
        </w:trPr>
        <w:tc>
          <w:tcPr>
            <w:tcW w:type="dxa" w:w="2088"/>
          </w:tcPr>
          <w:p>
            <w:pPr>
              <w:spacing w:after="40"/>
            </w:pPr>
            <w:r>
              <w:rPr>
                <w:rFonts w:ascii="Consolas" w:hAnsi="Consolas" w:cs="Consolas"/>
                <w:b/>
                <w:sz w:val="17"/>
              </w:rPr>
              <w:t>agentHoldTime</w:t>
            </w:r>
          </w:p>
        </w:tc>
        <w:tc>
          <w:tcPr>
            <w:tcW w:type="dxa" w:w="2016"/>
          </w:tcPr>
          <w:p>
            <w:pPr>
              <w:spacing w:after="40"/>
            </w:pPr>
            <w:r>
              <w:rPr>
                <w:sz w:val="18"/>
              </w:rPr>
              <w:t>Agent Hold Time</w:t>
            </w:r>
          </w:p>
        </w:tc>
        <w:tc>
          <w:tcPr>
            <w:tcW w:type="dxa" w:w="5256"/>
          </w:tcPr>
          <w:p>
            <w:pPr>
              <w:spacing w:after="40"/>
            </w:pPr>
            <w:r>
              <w:rPr>
                <w:sz w:val="18"/>
              </w:rPr>
              <w:t>The time the customer spent on agent-initiated hold during this segment.</w:t>
            </w:r>
          </w:p>
        </w:tc>
      </w:tr>
      <w:tr>
        <w:trPr>
          <w:cantSplit/>
        </w:trPr>
        <w:tc>
          <w:tcPr>
            <w:tcW w:type="dxa" w:w="2088"/>
            <w:shd w:val="clear" w:fill="FAFAFA"/>
          </w:tcPr>
          <w:p>
            <w:pPr>
              <w:spacing w:after="40"/>
            </w:pPr>
            <w:r>
              <w:rPr>
                <w:rFonts w:ascii="Consolas" w:hAnsi="Consolas" w:cs="Consolas"/>
                <w:b/>
                <w:sz w:val="17"/>
              </w:rPr>
              <w:t>agentHoldCount</w:t>
            </w:r>
          </w:p>
        </w:tc>
        <w:tc>
          <w:tcPr>
            <w:tcW w:type="dxa" w:w="2016"/>
            <w:shd w:val="clear" w:fill="FAFAFA"/>
          </w:tcPr>
          <w:p>
            <w:pPr>
              <w:spacing w:after="40"/>
            </w:pPr>
            <w:r>
              <w:rPr>
                <w:sz w:val="18"/>
              </w:rPr>
              <w:t>Agent Hold Count</w:t>
            </w:r>
          </w:p>
        </w:tc>
        <w:tc>
          <w:tcPr>
            <w:tcW w:type="dxa" w:w="5256"/>
            <w:shd w:val="clear" w:fill="FAFAFA"/>
          </w:tcPr>
          <w:p>
            <w:pPr>
              <w:spacing w:after="40"/>
            </w:pPr>
            <w:r>
              <w:rPr>
                <w:sz w:val="18"/>
              </w:rPr>
              <w:t>The number of times the agent put the customer on hold during this segment.</w:t>
            </w:r>
          </w:p>
        </w:tc>
      </w:tr>
      <w:tr>
        <w:trPr>
          <w:cantSplit/>
        </w:trPr>
        <w:tc>
          <w:tcPr>
            <w:tcW w:type="dxa" w:w="2088"/>
          </w:tcPr>
          <w:p>
            <w:pPr>
              <w:spacing w:after="40"/>
            </w:pPr>
            <w:r>
              <w:rPr>
                <w:rFonts w:ascii="Consolas" w:hAnsi="Consolas" w:cs="Consolas"/>
                <w:b/>
                <w:sz w:val="17"/>
              </w:rPr>
              <w:t>switchHoldTime</w:t>
            </w:r>
          </w:p>
        </w:tc>
        <w:tc>
          <w:tcPr>
            <w:tcW w:type="dxa" w:w="2016"/>
          </w:tcPr>
          <w:p>
            <w:pPr>
              <w:spacing w:after="40"/>
            </w:pPr>
            <w:r>
              <w:rPr>
                <w:sz w:val="18"/>
              </w:rPr>
              <w:t>Switch Hold Time</w:t>
            </w:r>
          </w:p>
        </w:tc>
        <w:tc>
          <w:tcPr>
            <w:tcW w:type="dxa" w:w="5256"/>
          </w:tcPr>
          <w:p>
            <w:pPr>
              <w:spacing w:after="40"/>
            </w:pPr>
            <w:r>
              <w:rPr>
                <w:sz w:val="18"/>
              </w:rPr>
              <w:t>Time the customer spent on hold because the agent switched away to handle another interaction. Distinct from agentHoldTime, which is a deliberate hold.</w:t>
            </w:r>
          </w:p>
        </w:tc>
      </w:tr>
      <w:tr>
        <w:trPr>
          <w:cantSplit/>
        </w:trPr>
        <w:tc>
          <w:tcPr>
            <w:tcW w:type="dxa" w:w="2088"/>
            <w:shd w:val="clear" w:fill="FAFAFA"/>
          </w:tcPr>
          <w:p>
            <w:pPr>
              <w:spacing w:after="40"/>
            </w:pPr>
            <w:r>
              <w:rPr>
                <w:rFonts w:ascii="Consolas" w:hAnsi="Consolas" w:cs="Consolas"/>
                <w:b/>
                <w:sz w:val="17"/>
              </w:rPr>
              <w:t>switchHoldCount</w:t>
            </w:r>
          </w:p>
        </w:tc>
        <w:tc>
          <w:tcPr>
            <w:tcW w:type="dxa" w:w="2016"/>
            <w:shd w:val="clear" w:fill="FAFAFA"/>
          </w:tcPr>
          <w:p>
            <w:pPr>
              <w:spacing w:after="40"/>
            </w:pPr>
            <w:r>
              <w:rPr>
                <w:sz w:val="18"/>
              </w:rPr>
              <w:t>Switch Hold Count</w:t>
            </w:r>
          </w:p>
        </w:tc>
        <w:tc>
          <w:tcPr>
            <w:tcW w:type="dxa" w:w="5256"/>
            <w:shd w:val="clear" w:fill="FAFAFA"/>
          </w:tcPr>
          <w:p>
            <w:pPr>
              <w:spacing w:after="40"/>
            </w:pPr>
            <w:r>
              <w:rPr>
                <w:sz w:val="18"/>
              </w:rPr>
              <w:t>The number of times the customer was put on hold by an agent switching between interactions.</w:t>
            </w:r>
          </w:p>
        </w:tc>
      </w:tr>
      <w:tr>
        <w:trPr>
          <w:cantSplit/>
        </w:trPr>
        <w:tc>
          <w:tcPr>
            <w:tcW w:type="dxa" w:w="2088"/>
          </w:tcPr>
          <w:p>
            <w:pPr>
              <w:spacing w:after="40"/>
            </w:pPr>
            <w:r>
              <w:rPr>
                <w:rFonts w:ascii="Consolas" w:hAnsi="Consolas" w:cs="Consolas"/>
                <w:b/>
                <w:sz w:val="17"/>
              </w:rPr>
              <w:t>wrapup</w:t>
            </w:r>
          </w:p>
        </w:tc>
        <w:tc>
          <w:tcPr>
            <w:tcW w:type="dxa" w:w="2016"/>
          </w:tcPr>
          <w:p>
            <w:pPr>
              <w:spacing w:after="40"/>
            </w:pPr>
            <w:r>
              <w:rPr>
                <w:sz w:val="18"/>
              </w:rPr>
              <w:t>Wrapup</w:t>
            </w:r>
          </w:p>
        </w:tc>
        <w:tc>
          <w:tcPr>
            <w:tcW w:type="dxa" w:w="5256"/>
          </w:tcPr>
          <w:p>
            <w:pPr>
              <w:spacing w:after="40"/>
            </w:pPr>
            <w:r>
              <w:rPr>
                <w:sz w:val="18"/>
              </w:rPr>
              <w:t>The time the agent spent on post-interaction wrap-up for this segment. Note the spelling differs from the interaction-level equivalent, wrapUpTime.</w:t>
            </w:r>
          </w:p>
        </w:tc>
      </w:tr>
    </w:tbl>
    <w:p/>
    <w:p>
      <w:pPr>
        <w:pStyle w:val="Heading2"/>
      </w:pPr>
      <w:r>
        <w:rPr>
          <w:rFonts w:ascii="Helvetica Neue" w:hAnsi="Helvetica Neue" w:cs="Helvetica Neue"/>
          <w:color w:val="050508"/>
        </w:rPr>
        <w:t>5.4  Communication type and transfers</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088"/>
            <w:shd w:val="clear" w:fill="F0F0F0"/>
          </w:tcPr>
          <w:p>
            <w:pPr>
              <w:spacing w:after="20"/>
            </w:pPr>
            <w:r>
              <w:rPr>
                <w:b/>
                <w:color w:val="050508"/>
                <w:sz w:val="18"/>
              </w:rPr>
              <w:t>Field</w:t>
            </w:r>
          </w:p>
        </w:tc>
        <w:tc>
          <w:tcPr>
            <w:tcW w:type="dxa" w:w="2016"/>
            <w:shd w:val="clear" w:fill="F0F0F0"/>
          </w:tcPr>
          <w:p>
            <w:pPr>
              <w:spacing w:after="20"/>
            </w:pPr>
            <w:r>
              <w:rPr>
                <w:b/>
                <w:color w:val="050508"/>
                <w:sz w:val="18"/>
              </w:rPr>
              <w:t>Insights label</w:t>
            </w:r>
          </w:p>
        </w:tc>
        <w:tc>
          <w:tcPr>
            <w:tcW w:type="dxa" w:w="5256"/>
            <w:shd w:val="clear" w:fill="F0F0F0"/>
          </w:tcPr>
          <w:p>
            <w:pPr>
              <w:spacing w:after="20"/>
            </w:pPr>
            <w:r>
              <w:rPr>
                <w:b/>
                <w:color w:val="050508"/>
                <w:sz w:val="18"/>
              </w:rPr>
              <w:t>Definition</w:t>
            </w:r>
          </w:p>
        </w:tc>
      </w:tr>
      <w:tr>
        <w:trPr>
          <w:cantSplit/>
        </w:trPr>
        <w:tc>
          <w:tcPr>
            <w:tcW w:type="dxa" w:w="2088"/>
          </w:tcPr>
          <w:p>
            <w:pPr>
              <w:spacing w:after="40"/>
            </w:pPr>
            <w:r>
              <w:rPr>
                <w:rFonts w:ascii="Consolas" w:hAnsi="Consolas" w:cs="Consolas"/>
                <w:b/>
                <w:sz w:val="17"/>
              </w:rPr>
              <w:t>commType</w:t>
            </w:r>
          </w:p>
        </w:tc>
        <w:tc>
          <w:tcPr>
            <w:tcW w:type="dxa" w:w="2016"/>
          </w:tcPr>
          <w:p>
            <w:pPr>
              <w:spacing w:after="40"/>
            </w:pPr>
            <w:r>
              <w:rPr>
                <w:sz w:val="18"/>
              </w:rPr>
              <w:t>Communication Type</w:t>
            </w:r>
          </w:p>
        </w:tc>
        <w:tc>
          <w:tcPr>
            <w:tcW w:type="dxa" w:w="5256"/>
          </w:tcPr>
          <w:p>
            <w:pPr>
              <w:spacing w:after="40"/>
            </w:pPr>
            <w:r>
              <w:rPr>
                <w:sz w:val="18"/>
              </w:rPr>
              <w:t>The communication type of this segment, for example inboundCall or phoneCall.</w:t>
            </w:r>
          </w:p>
        </w:tc>
      </w:tr>
      <w:tr>
        <w:trPr>
          <w:cantSplit/>
        </w:trPr>
        <w:tc>
          <w:tcPr>
            <w:tcW w:type="dxa" w:w="2088"/>
            <w:shd w:val="clear" w:fill="FAFAFA"/>
          </w:tcPr>
          <w:p>
            <w:pPr>
              <w:spacing w:after="40"/>
            </w:pPr>
            <w:r>
              <w:rPr>
                <w:rFonts w:ascii="Consolas" w:hAnsi="Consolas" w:cs="Consolas"/>
                <w:b/>
                <w:sz w:val="17"/>
              </w:rPr>
              <w:t>transfer</w:t>
            </w:r>
          </w:p>
        </w:tc>
        <w:tc>
          <w:tcPr>
            <w:tcW w:type="dxa" w:w="2016"/>
            <w:shd w:val="clear" w:fill="FAFAFA"/>
          </w:tcPr>
          <w:p>
            <w:pPr>
              <w:spacing w:after="40"/>
            </w:pPr>
            <w:r>
              <w:rPr>
                <w:sz w:val="18"/>
              </w:rPr>
              <w:t>Transfer</w:t>
            </w:r>
          </w:p>
        </w:tc>
        <w:tc>
          <w:tcPr>
            <w:tcW w:type="dxa" w:w="5256"/>
            <w:shd w:val="clear" w:fill="FAFAFA"/>
          </w:tcPr>
          <w:p>
            <w:pPr>
              <w:spacing w:after="40"/>
            </w:pPr>
            <w:r>
              <w:rPr>
                <w:sz w:val="18"/>
              </w:rPr>
              <w:t>1 where the segment resulted in a transfer; 0 where it did not. Summing this field is the correct way to count transfers across an interaction.</w:t>
            </w:r>
          </w:p>
        </w:tc>
      </w:tr>
      <w:tr>
        <w:trPr>
          <w:cantSplit/>
        </w:trPr>
        <w:tc>
          <w:tcPr>
            <w:tcW w:type="dxa" w:w="2088"/>
          </w:tcPr>
          <w:p>
            <w:pPr>
              <w:spacing w:after="40"/>
            </w:pPr>
            <w:r>
              <w:rPr>
                <w:rFonts w:ascii="Consolas" w:hAnsi="Consolas" w:cs="Consolas"/>
                <w:b/>
                <w:sz w:val="17"/>
              </w:rPr>
              <w:t>transferType</w:t>
            </w:r>
          </w:p>
        </w:tc>
        <w:tc>
          <w:tcPr>
            <w:tcW w:type="dxa" w:w="2016"/>
          </w:tcPr>
          <w:p>
            <w:pPr>
              <w:spacing w:after="40"/>
            </w:pPr>
            <w:r>
              <w:rPr>
                <w:sz w:val="18"/>
              </w:rPr>
              <w:t>Transfer Type</w:t>
            </w:r>
          </w:p>
        </w:tc>
        <w:tc>
          <w:tcPr>
            <w:tcW w:type="dxa" w:w="5256"/>
          </w:tcPr>
          <w:p>
            <w:pPr>
              <w:spacing w:after="40"/>
            </w:pPr>
            <w:r>
              <w:rPr>
                <w:sz w:val="18"/>
              </w:rPr>
              <w:t>The type of transfer that occurred, for example callback, maxWait or exitNoAgen. NULL where the segment did not transfer. Values are truncated to ten characters, so exitNoAgen is the stored form of the exit no agents condition.</w:t>
            </w:r>
          </w:p>
        </w:tc>
      </w:tr>
      <w:tr>
        <w:trPr>
          <w:cantSplit/>
        </w:trPr>
        <w:tc>
          <w:tcPr>
            <w:tcW w:type="dxa" w:w="2088"/>
            <w:shd w:val="clear" w:fill="FAFAFA"/>
          </w:tcPr>
          <w:p>
            <w:pPr>
              <w:spacing w:after="40"/>
            </w:pPr>
            <w:r>
              <w:rPr>
                <w:rFonts w:ascii="Consolas" w:hAnsi="Consolas" w:cs="Consolas"/>
                <w:b/>
                <w:sz w:val="17"/>
              </w:rPr>
              <w:t>transferToType</w:t>
            </w:r>
          </w:p>
        </w:tc>
        <w:tc>
          <w:tcPr>
            <w:tcW w:type="dxa" w:w="2016"/>
            <w:shd w:val="clear" w:fill="FAFAFA"/>
          </w:tcPr>
          <w:p>
            <w:pPr>
              <w:spacing w:after="40"/>
            </w:pPr>
            <w:r>
              <w:rPr>
                <w:sz w:val="18"/>
              </w:rPr>
              <w:t>Transfer To Type</w:t>
            </w:r>
          </w:p>
        </w:tc>
        <w:tc>
          <w:tcPr>
            <w:tcW w:type="dxa" w:w="5256"/>
            <w:shd w:val="clear" w:fill="FAFAFA"/>
          </w:tcPr>
          <w:p>
            <w:pPr>
              <w:spacing w:after="40"/>
            </w:pPr>
            <w:r>
              <w:rPr>
                <w:sz w:val="18"/>
              </w:rPr>
              <w:t>Where the transfer was routed to, for example voicemail or extNumber, which denotes an external telephony destination.</w:t>
            </w:r>
          </w:p>
        </w:tc>
      </w:tr>
      <w:tr>
        <w:trPr>
          <w:cantSplit/>
        </w:trPr>
        <w:tc>
          <w:tcPr>
            <w:tcW w:type="dxa" w:w="2088"/>
          </w:tcPr>
          <w:p>
            <w:pPr>
              <w:spacing w:after="40"/>
            </w:pPr>
            <w:r>
              <w:rPr>
                <w:rFonts w:ascii="Consolas" w:hAnsi="Consolas" w:cs="Consolas"/>
                <w:b/>
                <w:sz w:val="17"/>
              </w:rPr>
              <w:t>transferToData</w:t>
            </w:r>
          </w:p>
        </w:tc>
        <w:tc>
          <w:tcPr>
            <w:tcW w:type="dxa" w:w="2016"/>
          </w:tcPr>
          <w:p>
            <w:pPr>
              <w:spacing w:after="40"/>
            </w:pPr>
            <w:r>
              <w:rPr>
                <w:sz w:val="18"/>
              </w:rPr>
              <w:t>Transfer To Data</w:t>
            </w:r>
          </w:p>
        </w:tc>
        <w:tc>
          <w:tcPr>
            <w:tcW w:type="dxa" w:w="5256"/>
          </w:tcPr>
          <w:p>
            <w:pPr>
              <w:spacing w:after="40"/>
            </w:pPr>
            <w:r>
              <w:rPr>
                <w:sz w:val="18"/>
              </w:rPr>
              <w:t>The specific destination the transfer was routed to: a queue ID for an internal queue transfer, or the destination phone number for an external transfer.</w:t>
            </w:r>
          </w:p>
        </w:tc>
      </w:tr>
    </w:tbl>
    <w:p/>
    <w:p>
      <w:r>
        <w:br w:type="page"/>
      </w:r>
    </w:p>
    <w:p>
      <w:pPr>
        <w:pStyle w:val="Heading1"/>
        <w:pBdr>
          <w:bottom w:val="single" w:sz="8" w:space="4" w:color="BAC0CE"/>
        </w:pBdr>
      </w:pPr>
      <w:r>
        <w:rPr>
          <w:rFonts w:ascii="Helvetica Neue" w:hAnsi="Helvetica Neue" w:cs="Helvetica Neue"/>
          <w:color w:val="050508"/>
        </w:rPr>
        <w:t>6.  Calculated fields</w:t>
      </w:r>
    </w:p>
    <w:p>
      <w:pPr>
        <w:spacing w:after="120"/>
      </w:pPr>
      <w:r>
        <w:rPr>
          <w:b w:val="0"/>
          <w:i/>
          <w:sz w:val="19"/>
        </w:rPr>
        <w:t>These are not stored columns. They are computed at query time from the columns above.</w:t>
      </w:r>
    </w:p>
    <w:p>
      <w:pPr>
        <w:pStyle w:val="Heading2"/>
      </w:pPr>
      <w:r>
        <w:rPr>
          <w:rFonts w:ascii="Helvetica Neue" w:hAnsi="Helvetica Neue" w:cs="Helvetica Neue"/>
          <w:color w:val="050508"/>
        </w:rPr>
        <w:t>6.1  Segment roll-ups on the interaction record</w:t>
      </w:r>
    </w:p>
    <w:p>
      <w:pPr>
        <w:spacing w:after="120"/>
      </w:pPr>
      <w:r>
        <w:rPr>
          <w:b w:val="0"/>
          <w:i/>
          <w:sz w:val="18"/>
        </w:rPr>
        <w:t>Each aggregates the segments belonging to one interaction, and requires GROUP BY queueCallManagerID.</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376"/>
            <w:shd w:val="clear" w:fill="F0F0F0"/>
          </w:tcPr>
          <w:p>
            <w:pPr>
              <w:spacing w:after="20"/>
            </w:pPr>
            <w:r>
              <w:rPr>
                <w:b/>
                <w:color w:val="050508"/>
                <w:sz w:val="18"/>
              </w:rPr>
              <w:t>Field</w:t>
            </w:r>
          </w:p>
        </w:tc>
        <w:tc>
          <w:tcPr>
            <w:tcW w:type="dxa" w:w="3024"/>
            <w:shd w:val="clear" w:fill="F0F0F0"/>
          </w:tcPr>
          <w:p>
            <w:pPr>
              <w:spacing w:after="20"/>
            </w:pPr>
            <w:r>
              <w:rPr>
                <w:b/>
                <w:color w:val="050508"/>
                <w:sz w:val="18"/>
              </w:rPr>
              <w:t>Calculation</w:t>
            </w:r>
          </w:p>
        </w:tc>
        <w:tc>
          <w:tcPr>
            <w:tcW w:type="dxa" w:w="3960"/>
            <w:shd w:val="clear" w:fill="F0F0F0"/>
          </w:tcPr>
          <w:p>
            <w:pPr>
              <w:spacing w:after="20"/>
            </w:pPr>
            <w:r>
              <w:rPr>
                <w:b/>
                <w:color w:val="050508"/>
                <w:sz w:val="18"/>
              </w:rPr>
              <w:t>Definition</w:t>
            </w:r>
          </w:p>
        </w:tc>
      </w:tr>
      <w:tr>
        <w:trPr>
          <w:cantSplit/>
        </w:trPr>
        <w:tc>
          <w:tcPr>
            <w:tcW w:type="dxa" w:w="2376"/>
          </w:tcPr>
          <w:p>
            <w:pPr>
              <w:spacing w:after="40"/>
            </w:pPr>
            <w:r>
              <w:rPr>
                <w:sz w:val="18"/>
              </w:rPr>
              <w:t>Wait Time Segments</w:t>
            </w:r>
          </w:p>
        </w:tc>
        <w:tc>
          <w:tcPr>
            <w:tcW w:type="dxa" w:w="3024"/>
          </w:tcPr>
          <w:p>
            <w:pPr>
              <w:spacing w:after="40"/>
            </w:pPr>
            <w:r>
              <w:rPr>
                <w:rFonts w:ascii="Consolas" w:hAnsi="Consolas" w:cs="Consolas"/>
                <w:sz w:val="17"/>
              </w:rPr>
              <w:t>SUM(waitTime)</w:t>
            </w:r>
          </w:p>
        </w:tc>
        <w:tc>
          <w:tcPr>
            <w:tcW w:type="dxa" w:w="3960"/>
          </w:tcPr>
          <w:p>
            <w:pPr>
              <w:spacing w:after="40"/>
            </w:pPr>
            <w:r>
              <w:rPr>
                <w:sz w:val="18"/>
              </w:rPr>
              <w:t>The total time the customer spent waiting across all segments of the interaction.</w:t>
            </w:r>
          </w:p>
        </w:tc>
      </w:tr>
      <w:tr>
        <w:trPr>
          <w:cantSplit/>
        </w:trPr>
        <w:tc>
          <w:tcPr>
            <w:tcW w:type="dxa" w:w="2376"/>
            <w:shd w:val="clear" w:fill="FAFAFA"/>
          </w:tcPr>
          <w:p>
            <w:pPr>
              <w:spacing w:after="40"/>
            </w:pPr>
            <w:r>
              <w:rPr>
                <w:sz w:val="18"/>
              </w:rPr>
              <w:t>Talk Time Segments</w:t>
            </w:r>
          </w:p>
        </w:tc>
        <w:tc>
          <w:tcPr>
            <w:tcW w:type="dxa" w:w="3024"/>
            <w:shd w:val="clear" w:fill="FAFAFA"/>
          </w:tcPr>
          <w:p>
            <w:pPr>
              <w:spacing w:after="40"/>
            </w:pPr>
            <w:r>
              <w:rPr>
                <w:rFonts w:ascii="Consolas" w:hAnsi="Consolas" w:cs="Consolas"/>
                <w:sz w:val="17"/>
              </w:rPr>
              <w:t>SUM(agentTalkTime)</w:t>
            </w:r>
          </w:p>
        </w:tc>
        <w:tc>
          <w:tcPr>
            <w:tcW w:type="dxa" w:w="3960"/>
            <w:shd w:val="clear" w:fill="FAFAFA"/>
          </w:tcPr>
          <w:p>
            <w:pPr>
              <w:spacing w:after="40"/>
            </w:pPr>
            <w:r>
              <w:rPr>
                <w:sz w:val="18"/>
              </w:rPr>
              <w:t>The total time the customer spent engaging directly with an agent, across all segments.</w:t>
            </w:r>
          </w:p>
        </w:tc>
      </w:tr>
      <w:tr>
        <w:trPr>
          <w:cantSplit/>
        </w:trPr>
        <w:tc>
          <w:tcPr>
            <w:tcW w:type="dxa" w:w="2376"/>
          </w:tcPr>
          <w:p>
            <w:pPr>
              <w:spacing w:after="40"/>
            </w:pPr>
            <w:r>
              <w:rPr>
                <w:sz w:val="18"/>
              </w:rPr>
              <w:t>Hold Time Segments</w:t>
            </w:r>
          </w:p>
        </w:tc>
        <w:tc>
          <w:tcPr>
            <w:tcW w:type="dxa" w:w="3024"/>
          </w:tcPr>
          <w:p>
            <w:pPr>
              <w:spacing w:after="40"/>
            </w:pPr>
            <w:r>
              <w:rPr>
                <w:rFonts w:ascii="Consolas" w:hAnsi="Consolas" w:cs="Consolas"/>
                <w:sz w:val="17"/>
              </w:rPr>
              <w:t>SUM(agentHoldTime)</w:t>
            </w:r>
          </w:p>
        </w:tc>
        <w:tc>
          <w:tcPr>
            <w:tcW w:type="dxa" w:w="3960"/>
          </w:tcPr>
          <w:p>
            <w:pPr>
              <w:spacing w:after="40"/>
            </w:pPr>
            <w:r>
              <w:rPr>
                <w:sz w:val="18"/>
              </w:rPr>
              <w:t>The total agent-initiated hold time across all segments.</w:t>
            </w:r>
          </w:p>
        </w:tc>
      </w:tr>
      <w:tr>
        <w:trPr>
          <w:cantSplit/>
        </w:trPr>
        <w:tc>
          <w:tcPr>
            <w:tcW w:type="dxa" w:w="2376"/>
            <w:shd w:val="clear" w:fill="FAFAFA"/>
          </w:tcPr>
          <w:p>
            <w:pPr>
              <w:spacing w:after="40"/>
            </w:pPr>
            <w:r>
              <w:rPr>
                <w:sz w:val="18"/>
              </w:rPr>
              <w:t>Switch Hold Time Segments</w:t>
            </w:r>
          </w:p>
        </w:tc>
        <w:tc>
          <w:tcPr>
            <w:tcW w:type="dxa" w:w="3024"/>
            <w:shd w:val="clear" w:fill="FAFAFA"/>
          </w:tcPr>
          <w:p>
            <w:pPr>
              <w:spacing w:after="40"/>
            </w:pPr>
            <w:r>
              <w:rPr>
                <w:rFonts w:ascii="Consolas" w:hAnsi="Consolas" w:cs="Consolas"/>
                <w:sz w:val="17"/>
              </w:rPr>
              <w:t>SUM(switchHoldTime)</w:t>
            </w:r>
          </w:p>
        </w:tc>
        <w:tc>
          <w:tcPr>
            <w:tcW w:type="dxa" w:w="3960"/>
            <w:shd w:val="clear" w:fill="FAFAFA"/>
          </w:tcPr>
          <w:p>
            <w:pPr>
              <w:spacing w:after="40"/>
            </w:pPr>
            <w:r>
              <w:rPr>
                <w:sz w:val="18"/>
              </w:rPr>
              <w:t>The total time the customer spent on hold because agents switched between interactions.</w:t>
            </w:r>
          </w:p>
        </w:tc>
      </w:tr>
      <w:tr>
        <w:trPr>
          <w:cantSplit/>
        </w:trPr>
        <w:tc>
          <w:tcPr>
            <w:tcW w:type="dxa" w:w="2376"/>
          </w:tcPr>
          <w:p>
            <w:pPr>
              <w:spacing w:after="40"/>
            </w:pPr>
            <w:r>
              <w:rPr>
                <w:sz w:val="18"/>
              </w:rPr>
              <w:t>Wrap Up Segments</w:t>
            </w:r>
          </w:p>
        </w:tc>
        <w:tc>
          <w:tcPr>
            <w:tcW w:type="dxa" w:w="3024"/>
          </w:tcPr>
          <w:p>
            <w:pPr>
              <w:spacing w:after="40"/>
            </w:pPr>
            <w:r>
              <w:rPr>
                <w:rFonts w:ascii="Consolas" w:hAnsi="Consolas" w:cs="Consolas"/>
                <w:sz w:val="17"/>
              </w:rPr>
              <w:t>SUM(wrapup)</w:t>
            </w:r>
          </w:p>
        </w:tc>
        <w:tc>
          <w:tcPr>
            <w:tcW w:type="dxa" w:w="3960"/>
          </w:tcPr>
          <w:p>
            <w:pPr>
              <w:spacing w:after="40"/>
            </w:pPr>
            <w:r>
              <w:rPr>
                <w:sz w:val="18"/>
              </w:rPr>
              <w:t>The total post-interaction wrap-up time across all segments.</w:t>
            </w:r>
          </w:p>
        </w:tc>
      </w:tr>
      <w:tr>
        <w:trPr>
          <w:cantSplit/>
        </w:trPr>
        <w:tc>
          <w:tcPr>
            <w:tcW w:type="dxa" w:w="2376"/>
            <w:shd w:val="clear" w:fill="FAFAFA"/>
          </w:tcPr>
          <w:p>
            <w:pPr>
              <w:spacing w:after="40"/>
            </w:pPr>
            <w:r>
              <w:rPr>
                <w:sz w:val="18"/>
              </w:rPr>
              <w:t>Transfer Count Segments</w:t>
            </w:r>
          </w:p>
        </w:tc>
        <w:tc>
          <w:tcPr>
            <w:tcW w:type="dxa" w:w="3024"/>
            <w:shd w:val="clear" w:fill="FAFAFA"/>
          </w:tcPr>
          <w:p>
            <w:pPr>
              <w:spacing w:after="40"/>
            </w:pPr>
            <w:r>
              <w:rPr>
                <w:rFonts w:ascii="Consolas" w:hAnsi="Consolas" w:cs="Consolas"/>
                <w:sz w:val="17"/>
              </w:rPr>
              <w:t>COUNT(queueCDRLegID)</w:t>
            </w:r>
          </w:p>
        </w:tc>
        <w:tc>
          <w:tcPr>
            <w:tcW w:type="dxa" w:w="3960"/>
            <w:shd w:val="clear" w:fill="FAFAFA"/>
          </w:tcPr>
          <w:p>
            <w:pPr>
              <w:spacing w:after="40"/>
            </w:pPr>
            <w:r>
              <w:rPr>
                <w:sz w:val="18"/>
              </w:rPr>
              <w:t>The number of segments in the interaction. Note this counts segments rather than transfers, so an untransferred interaction returns 1. To count transfers, use SUM(transfer).</w:t>
            </w:r>
          </w:p>
        </w:tc>
      </w:tr>
      <w:tr>
        <w:trPr>
          <w:cantSplit/>
        </w:trPr>
        <w:tc>
          <w:tcPr>
            <w:tcW w:type="dxa" w:w="2376"/>
          </w:tcPr>
          <w:p>
            <w:pPr>
              <w:spacing w:after="40"/>
            </w:pPr>
            <w:r>
              <w:rPr>
                <w:sz w:val="18"/>
              </w:rPr>
              <w:t>Usernames Segments</w:t>
            </w:r>
          </w:p>
        </w:tc>
        <w:tc>
          <w:tcPr>
            <w:tcW w:type="dxa" w:w="3024"/>
          </w:tcPr>
          <w:p>
            <w:pPr>
              <w:spacing w:after="40"/>
            </w:pPr>
            <w:r>
              <w:rPr>
                <w:rFonts w:ascii="Consolas" w:hAnsi="Consolas" w:cs="Consolas"/>
                <w:sz w:val="17"/>
              </w:rPr>
              <w:t>GROUP_CONCAT(username)</w:t>
            </w:r>
          </w:p>
        </w:tc>
        <w:tc>
          <w:tcPr>
            <w:tcW w:type="dxa" w:w="3960"/>
          </w:tcPr>
          <w:p>
            <w:pPr>
              <w:spacing w:after="40"/>
            </w:pPr>
            <w:r>
              <w:rPr>
                <w:sz w:val="18"/>
              </w:rPr>
              <w:t>All agent usernames that touched the interaction, separated by commas.</w:t>
            </w:r>
          </w:p>
        </w:tc>
      </w:tr>
      <w:tr>
        <w:trPr>
          <w:cantSplit/>
        </w:trPr>
        <w:tc>
          <w:tcPr>
            <w:tcW w:type="dxa" w:w="2376"/>
            <w:shd w:val="clear" w:fill="FAFAFA"/>
          </w:tcPr>
          <w:p>
            <w:pPr>
              <w:spacing w:after="40"/>
            </w:pPr>
            <w:r>
              <w:rPr>
                <w:sz w:val="18"/>
              </w:rPr>
              <w:t>Comm Types Segments</w:t>
            </w:r>
          </w:p>
        </w:tc>
        <w:tc>
          <w:tcPr>
            <w:tcW w:type="dxa" w:w="3024"/>
            <w:shd w:val="clear" w:fill="FAFAFA"/>
          </w:tcPr>
          <w:p>
            <w:pPr>
              <w:spacing w:after="40"/>
            </w:pPr>
            <w:r>
              <w:rPr>
                <w:rFonts w:ascii="Consolas" w:hAnsi="Consolas" w:cs="Consolas"/>
                <w:sz w:val="17"/>
              </w:rPr>
              <w:t>GROUP_CONCAT(commType)</w:t>
            </w:r>
          </w:p>
        </w:tc>
        <w:tc>
          <w:tcPr>
            <w:tcW w:type="dxa" w:w="3960"/>
            <w:shd w:val="clear" w:fill="FAFAFA"/>
          </w:tcPr>
          <w:p>
            <w:pPr>
              <w:spacing w:after="40"/>
            </w:pPr>
            <w:r>
              <w:rPr>
                <w:sz w:val="18"/>
              </w:rPr>
              <w:t>The communication type of each segment, separated by commas.</w:t>
            </w:r>
          </w:p>
        </w:tc>
      </w:tr>
    </w:tbl>
    <w:p/>
    <w:p>
      <w:pPr>
        <w:pStyle w:val="Heading2"/>
      </w:pPr>
      <w:r>
        <w:rPr>
          <w:rFonts w:ascii="Helvetica Neue" w:hAnsi="Helvetica Neue" w:cs="Helvetica Neue"/>
          <w:color w:val="050508"/>
        </w:rPr>
        <w:t>6.2  Calculated fields on the segment record</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3120"/>
        <w:gridCol w:w="3120"/>
        <w:gridCol w:w="3120"/>
      </w:tblGrid>
      <w:tr>
        <w:trPr>
          <w:cantSplit/>
          <w:tblHeader/>
        </w:trPr>
        <w:tc>
          <w:tcPr>
            <w:tcW w:type="dxa" w:w="2376"/>
            <w:shd w:val="clear" w:fill="F0F0F0"/>
          </w:tcPr>
          <w:p>
            <w:pPr>
              <w:spacing w:after="20"/>
            </w:pPr>
            <w:r>
              <w:rPr>
                <w:b/>
                <w:color w:val="050508"/>
                <w:sz w:val="18"/>
              </w:rPr>
              <w:t>Field</w:t>
            </w:r>
          </w:p>
        </w:tc>
        <w:tc>
          <w:tcPr>
            <w:tcW w:type="dxa" w:w="3024"/>
            <w:shd w:val="clear" w:fill="F0F0F0"/>
          </w:tcPr>
          <w:p>
            <w:pPr>
              <w:spacing w:after="20"/>
            </w:pPr>
            <w:r>
              <w:rPr>
                <w:b/>
                <w:color w:val="050508"/>
                <w:sz w:val="18"/>
              </w:rPr>
              <w:t>Calculation</w:t>
            </w:r>
          </w:p>
        </w:tc>
        <w:tc>
          <w:tcPr>
            <w:tcW w:type="dxa" w:w="3960"/>
            <w:shd w:val="clear" w:fill="F0F0F0"/>
          </w:tcPr>
          <w:p>
            <w:pPr>
              <w:spacing w:after="20"/>
            </w:pPr>
            <w:r>
              <w:rPr>
                <w:b/>
                <w:color w:val="050508"/>
                <w:sz w:val="18"/>
              </w:rPr>
              <w:t>Definition</w:t>
            </w:r>
          </w:p>
        </w:tc>
      </w:tr>
      <w:tr>
        <w:trPr>
          <w:cantSplit/>
        </w:trPr>
        <w:tc>
          <w:tcPr>
            <w:tcW w:type="dxa" w:w="2376"/>
          </w:tcPr>
          <w:p>
            <w:pPr>
              <w:spacing w:after="40"/>
            </w:pPr>
            <w:r>
              <w:rPr>
                <w:sz w:val="18"/>
              </w:rPr>
              <w:t>Agent Handle Time</w:t>
            </w:r>
          </w:p>
        </w:tc>
        <w:tc>
          <w:tcPr>
            <w:tcW w:type="dxa" w:w="3024"/>
          </w:tcPr>
          <w:p>
            <w:pPr>
              <w:spacing w:after="40"/>
            </w:pPr>
            <w:r>
              <w:rPr>
                <w:rFonts w:ascii="Consolas" w:hAnsi="Consolas" w:cs="Consolas"/>
                <w:sz w:val="17"/>
              </w:rPr>
              <w:t>agentTalkTime + agentHoldTime + wrapup</w:t>
            </w:r>
          </w:p>
        </w:tc>
        <w:tc>
          <w:tcPr>
            <w:tcW w:type="dxa" w:w="3960"/>
          </w:tcPr>
          <w:p>
            <w:pPr>
              <w:spacing w:after="40"/>
            </w:pPr>
            <w:r>
              <w:rPr>
                <w:sz w:val="18"/>
              </w:rPr>
              <w:t>The total time an agent spent engaged with the segment: talk time, hold time and wrap-up combined.</w:t>
            </w:r>
          </w:p>
        </w:tc>
      </w:tr>
      <w:tr>
        <w:trPr>
          <w:cantSplit/>
        </w:trPr>
        <w:tc>
          <w:tcPr>
            <w:tcW w:type="dxa" w:w="2376"/>
            <w:shd w:val="clear" w:fill="FAFAFA"/>
          </w:tcPr>
          <w:p>
            <w:pPr>
              <w:spacing w:after="40"/>
            </w:pPr>
            <w:r>
              <w:rPr>
                <w:sz w:val="18"/>
              </w:rPr>
              <w:t>Abandoned Wait Time</w:t>
            </w:r>
          </w:p>
        </w:tc>
        <w:tc>
          <w:tcPr>
            <w:tcW w:type="dxa" w:w="3024"/>
            <w:shd w:val="clear" w:fill="FAFAFA"/>
          </w:tcPr>
          <w:p>
            <w:pPr>
              <w:spacing w:after="40"/>
            </w:pPr>
            <w:r>
              <w:rPr>
                <w:rFonts w:ascii="Consolas" w:hAnsi="Consolas" w:cs="Consolas"/>
                <w:sz w:val="17"/>
              </w:rPr>
              <w:t>CASE WHEN agentTalkTime = 0</w:t>
              <w:br/>
              <w:t>AND transfer = 0 THEN waitTime END</w:t>
            </w:r>
          </w:p>
        </w:tc>
        <w:tc>
          <w:tcPr>
            <w:tcW w:type="dxa" w:w="3960"/>
            <w:shd w:val="clear" w:fill="FAFAFA"/>
          </w:tcPr>
          <w:p>
            <w:pPr>
              <w:spacing w:after="40"/>
            </w:pPr>
            <w:r>
              <w:rPr>
                <w:sz w:val="18"/>
              </w:rPr>
              <w:t>The time a customer waited before abandoning. Returns a wait time only for segments that were neither answered nor transferred, and NULL for all others, so it can be averaged directly.</w:t>
            </w:r>
          </w:p>
        </w:tc>
      </w:tr>
      <w:tr>
        <w:trPr>
          <w:cantSplit/>
        </w:trPr>
        <w:tc>
          <w:tcPr>
            <w:tcW w:type="dxa" w:w="2376"/>
          </w:tcPr>
          <w:p>
            <w:pPr>
              <w:spacing w:after="40"/>
            </w:pPr>
            <w:r>
              <w:rPr>
                <w:sz w:val="18"/>
              </w:rPr>
              <w:t>Caller ID Name</w:t>
            </w:r>
          </w:p>
        </w:tc>
        <w:tc>
          <w:tcPr>
            <w:tcW w:type="dxa" w:w="3024"/>
          </w:tcPr>
          <w:p>
            <w:pPr>
              <w:spacing w:after="40"/>
            </w:pPr>
            <w:r>
              <w:rPr>
                <w:rFonts w:ascii="Consolas" w:hAnsi="Consolas" w:cs="Consolas"/>
                <w:sz w:val="17"/>
              </w:rPr>
              <w:t>queueCDR.cidName</w:t>
            </w:r>
          </w:p>
        </w:tc>
        <w:tc>
          <w:tcPr>
            <w:tcW w:type="dxa" w:w="3960"/>
          </w:tcPr>
          <w:p>
            <w:pPr>
              <w:spacing w:after="40"/>
            </w:pPr>
            <w:r>
              <w:rPr>
                <w:sz w:val="18"/>
              </w:rPr>
              <w:t>The name associated with the interaction, based on ANI, taken from the interaction record.</w:t>
            </w:r>
          </w:p>
        </w:tc>
      </w:tr>
      <w:tr>
        <w:trPr>
          <w:cantSplit/>
        </w:trPr>
        <w:tc>
          <w:tcPr>
            <w:tcW w:type="dxa" w:w="2376"/>
            <w:shd w:val="clear" w:fill="FAFAFA"/>
          </w:tcPr>
          <w:p>
            <w:pPr>
              <w:spacing w:after="40"/>
            </w:pPr>
            <w:r>
              <w:rPr>
                <w:sz w:val="18"/>
              </w:rPr>
              <w:t>Caller ID Number</w:t>
            </w:r>
          </w:p>
        </w:tc>
        <w:tc>
          <w:tcPr>
            <w:tcW w:type="dxa" w:w="3024"/>
            <w:shd w:val="clear" w:fill="FAFAFA"/>
          </w:tcPr>
          <w:p>
            <w:pPr>
              <w:spacing w:after="40"/>
            </w:pPr>
            <w:r>
              <w:rPr>
                <w:rFonts w:ascii="Consolas" w:hAnsi="Consolas" w:cs="Consolas"/>
                <w:sz w:val="17"/>
              </w:rPr>
              <w:t>queueCDR.cidNumber</w:t>
            </w:r>
          </w:p>
        </w:tc>
        <w:tc>
          <w:tcPr>
            <w:tcW w:type="dxa" w:w="3960"/>
            <w:shd w:val="clear" w:fill="FAFAFA"/>
          </w:tcPr>
          <w:p>
            <w:pPr>
              <w:spacing w:after="40"/>
            </w:pPr>
            <w:r>
              <w:rPr>
                <w:sz w:val="18"/>
              </w:rPr>
              <w:t>The number the customer dialled from, based on ANI, taken from the interaction record.</w:t>
            </w:r>
          </w:p>
        </w:tc>
      </w:tr>
      <w:tr>
        <w:trPr>
          <w:cantSplit/>
        </w:trPr>
        <w:tc>
          <w:tcPr>
            <w:tcW w:type="dxa" w:w="2376"/>
          </w:tcPr>
          <w:p>
            <w:pPr>
              <w:spacing w:after="40"/>
            </w:pPr>
            <w:r>
              <w:rPr>
                <w:sz w:val="18"/>
              </w:rPr>
              <w:t>Callback</w:t>
            </w:r>
          </w:p>
        </w:tc>
        <w:tc>
          <w:tcPr>
            <w:tcW w:type="dxa" w:w="3024"/>
          </w:tcPr>
          <w:p>
            <w:pPr>
              <w:spacing w:after="40"/>
            </w:pPr>
            <w:r>
              <w:rPr>
                <w:rFonts w:ascii="Consolas" w:hAnsi="Consolas" w:cs="Consolas"/>
                <w:sz w:val="17"/>
              </w:rPr>
              <w:t>queueCDR.queueCallback</w:t>
            </w:r>
          </w:p>
        </w:tc>
        <w:tc>
          <w:tcPr>
            <w:tcW w:type="dxa" w:w="3960"/>
          </w:tcPr>
          <w:p>
            <w:pPr>
              <w:spacing w:after="40"/>
            </w:pPr>
            <w:r>
              <w:rPr>
                <w:sz w:val="18"/>
              </w:rPr>
              <w:t>1 denotes an outbound dial from a Sharpen Q rather than a personal extension.</w:t>
            </w:r>
          </w:p>
        </w:tc>
      </w:tr>
    </w:tbl>
    <w:p/>
    <w:p>
      <w:r>
        <w:br w:type="page"/>
      </w:r>
    </w:p>
    <w:p>
      <w:pPr>
        <w:pStyle w:val="Heading1"/>
        <w:pBdr>
          <w:bottom w:val="single" w:sz="8" w:space="4" w:color="BAC0CE"/>
        </w:pBdr>
      </w:pPr>
      <w:r>
        <w:rPr>
          <w:rFonts w:ascii="Helvetica Neue" w:hAnsi="Helvetica Neue" w:cs="Helvetica Neue"/>
          <w:color w:val="050508"/>
        </w:rPr>
        <w:t>7.  Companion tables</w:t>
      </w:r>
    </w:p>
    <w:p>
      <w:pPr>
        <w:spacing w:after="120"/>
      </w:pPr>
      <w:r>
        <w:rPr>
          <w:b w:val="0"/>
          <w:i/>
          <w:sz w:val="19"/>
        </w:rPr>
        <w:t>Fields from these tables can be selected alongside queueCDR columns. The Query API adds the necessary joins automatically, and referencing a column in the SELECT is sufficient.</w:t>
      </w:r>
    </w:p>
    <w:p>
      <w:pPr>
        <w:spacing w:after="20"/>
      </w:pPr>
      <w:r>
        <w:rPr>
          <w:b/>
          <w:sz w:val="21"/>
        </w:rPr>
        <w:t>fathomQueues.csatComments: CSAT free-text comments</w:t>
      </w:r>
    </w:p>
    <w:p>
      <w:pPr>
        <w:spacing w:after="80"/>
      </w:pPr>
      <w:r>
        <w:rPr>
          <w:rFonts w:ascii="Consolas" w:hAnsi="Consolas" w:cs="Consolas"/>
          <w:sz w:val="16"/>
        </w:rPr>
        <w:t>Joined on:  queueCDR.queueCallManagerID = csatComments.queueCallManagerID</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4680"/>
        <w:gridCol w:w="4680"/>
      </w:tblGrid>
      <w:tr>
        <w:trPr>
          <w:cantSplit/>
          <w:tblHeader/>
        </w:trPr>
        <w:tc>
          <w:tcPr>
            <w:tcW w:type="dxa" w:w="2376"/>
            <w:shd w:val="clear" w:fill="F0F0F0"/>
          </w:tcPr>
          <w:p>
            <w:pPr>
              <w:spacing w:after="20"/>
            </w:pPr>
            <w:r>
              <w:rPr>
                <w:b/>
                <w:color w:val="050508"/>
                <w:sz w:val="18"/>
              </w:rPr>
              <w:t>Field</w:t>
            </w:r>
          </w:p>
        </w:tc>
        <w:tc>
          <w:tcPr>
            <w:tcW w:type="dxa" w:w="6984"/>
            <w:shd w:val="clear" w:fill="F0F0F0"/>
          </w:tcPr>
          <w:p>
            <w:pPr>
              <w:spacing w:after="20"/>
            </w:pPr>
            <w:r>
              <w:rPr>
                <w:b/>
                <w:color w:val="050508"/>
                <w:sz w:val="18"/>
              </w:rPr>
              <w:t>Definition</w:t>
            </w:r>
          </w:p>
        </w:tc>
      </w:tr>
      <w:tr>
        <w:trPr>
          <w:cantSplit/>
        </w:trPr>
        <w:tc>
          <w:tcPr>
            <w:tcW w:type="dxa" w:w="2376"/>
          </w:tcPr>
          <w:p>
            <w:pPr>
              <w:spacing w:after="40"/>
            </w:pPr>
            <w:r>
              <w:rPr>
                <w:rFonts w:ascii="Consolas" w:hAnsi="Consolas" w:cs="Consolas"/>
                <w:b/>
                <w:sz w:val="17"/>
              </w:rPr>
              <w:t>comment</w:t>
            </w:r>
          </w:p>
        </w:tc>
        <w:tc>
          <w:tcPr>
            <w:tcW w:type="dxa" w:w="6984"/>
          </w:tcPr>
          <w:p>
            <w:pPr>
              <w:spacing w:after="40"/>
            </w:pPr>
            <w:r>
              <w:rPr>
                <w:sz w:val="18"/>
              </w:rPr>
              <w:t>Customer comments from completed CSAT surveys. Appears as CSAT Message.</w:t>
            </w:r>
          </w:p>
        </w:tc>
      </w:tr>
    </w:tbl>
    <w:p/>
    <w:p>
      <w:pPr>
        <w:spacing w:after="20"/>
      </w:pPr>
      <w:r>
        <w:rPr>
          <w:b/>
          <w:sz w:val="21"/>
        </w:rPr>
        <w:t>fathomvoice.cdrNotes: agent interaction notes</w:t>
      </w:r>
    </w:p>
    <w:p>
      <w:pPr>
        <w:spacing w:after="80"/>
      </w:pPr>
      <w:r>
        <w:rPr>
          <w:rFonts w:ascii="Consolas" w:hAnsi="Consolas" w:cs="Consolas"/>
          <w:sz w:val="16"/>
        </w:rPr>
        <w:t>Joined on:  queueCDR.clickToCall = cdrNotes.clickToCall</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4680"/>
        <w:gridCol w:w="4680"/>
      </w:tblGrid>
      <w:tr>
        <w:trPr>
          <w:cantSplit/>
          <w:tblHeader/>
        </w:trPr>
        <w:tc>
          <w:tcPr>
            <w:tcW w:type="dxa" w:w="2376"/>
            <w:shd w:val="clear" w:fill="F0F0F0"/>
          </w:tcPr>
          <w:p>
            <w:pPr>
              <w:spacing w:after="20"/>
            </w:pPr>
            <w:r>
              <w:rPr>
                <w:b/>
                <w:color w:val="050508"/>
                <w:sz w:val="18"/>
              </w:rPr>
              <w:t>Field</w:t>
            </w:r>
          </w:p>
        </w:tc>
        <w:tc>
          <w:tcPr>
            <w:tcW w:type="dxa" w:w="6984"/>
            <w:shd w:val="clear" w:fill="F0F0F0"/>
          </w:tcPr>
          <w:p>
            <w:pPr>
              <w:spacing w:after="20"/>
            </w:pPr>
            <w:r>
              <w:rPr>
                <w:b/>
                <w:color w:val="050508"/>
                <w:sz w:val="18"/>
              </w:rPr>
              <w:t>Definition</w:t>
            </w:r>
          </w:p>
        </w:tc>
      </w:tr>
      <w:tr>
        <w:trPr>
          <w:cantSplit/>
        </w:trPr>
        <w:tc>
          <w:tcPr>
            <w:tcW w:type="dxa" w:w="2376"/>
          </w:tcPr>
          <w:p>
            <w:pPr>
              <w:spacing w:after="40"/>
            </w:pPr>
            <w:r>
              <w:rPr>
                <w:rFonts w:ascii="Consolas" w:hAnsi="Consolas" w:cs="Consolas"/>
                <w:b/>
                <w:sz w:val="17"/>
              </w:rPr>
              <w:t>notes</w:t>
            </w:r>
          </w:p>
        </w:tc>
        <w:tc>
          <w:tcPr>
            <w:tcW w:type="dxa" w:w="6984"/>
          </w:tcPr>
          <w:p>
            <w:pPr>
              <w:spacing w:after="40"/>
            </w:pPr>
            <w:r>
              <w:rPr>
                <w:sz w:val="18"/>
              </w:rPr>
              <w:t>Free-text notes an agent left against the interaction. Appears as Interaction Notes. An empty string means the note record exists but is blank; NULL means no note record exists.</w:t>
            </w:r>
          </w:p>
        </w:tc>
      </w:tr>
    </w:tbl>
    <w:p/>
    <w:p>
      <w:pPr>
        <w:spacing w:after="20"/>
      </w:pPr>
      <w:r>
        <w:rPr>
          <w:b/>
          <w:sz w:val="21"/>
        </w:rPr>
        <w:t>reporting.aiSummary: AI-generated interaction summary</w:t>
      </w:r>
    </w:p>
    <w:p>
      <w:pPr>
        <w:spacing w:after="80"/>
      </w:pPr>
      <w:r>
        <w:rPr>
          <w:rFonts w:ascii="Consolas" w:hAnsi="Consolas" w:cs="Consolas"/>
          <w:sz w:val="16"/>
        </w:rPr>
        <w:t>Joined on:  queueCDR.queueCallManagerID = aiSummary.interactionId</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4680"/>
        <w:gridCol w:w="4680"/>
      </w:tblGrid>
      <w:tr>
        <w:trPr>
          <w:cantSplit/>
          <w:tblHeader/>
        </w:trPr>
        <w:tc>
          <w:tcPr>
            <w:tcW w:type="dxa" w:w="2376"/>
            <w:shd w:val="clear" w:fill="F0F0F0"/>
          </w:tcPr>
          <w:p>
            <w:pPr>
              <w:spacing w:after="20"/>
            </w:pPr>
            <w:r>
              <w:rPr>
                <w:b/>
                <w:color w:val="050508"/>
                <w:sz w:val="18"/>
              </w:rPr>
              <w:t>Field</w:t>
            </w:r>
          </w:p>
        </w:tc>
        <w:tc>
          <w:tcPr>
            <w:tcW w:type="dxa" w:w="6984"/>
            <w:shd w:val="clear" w:fill="F0F0F0"/>
          </w:tcPr>
          <w:p>
            <w:pPr>
              <w:spacing w:after="20"/>
            </w:pPr>
            <w:r>
              <w:rPr>
                <w:b/>
                <w:color w:val="050508"/>
                <w:sz w:val="18"/>
              </w:rPr>
              <w:t>Definition</w:t>
            </w:r>
          </w:p>
        </w:tc>
      </w:tr>
      <w:tr>
        <w:trPr>
          <w:cantSplit/>
        </w:trPr>
        <w:tc>
          <w:tcPr>
            <w:tcW w:type="dxa" w:w="2376"/>
          </w:tcPr>
          <w:p>
            <w:pPr>
              <w:spacing w:after="40"/>
            </w:pPr>
            <w:r>
              <w:rPr>
                <w:rFonts w:ascii="Consolas" w:hAnsi="Consolas" w:cs="Consolas"/>
                <w:b/>
                <w:sz w:val="17"/>
              </w:rPr>
              <w:t>summary</w:t>
            </w:r>
          </w:p>
        </w:tc>
        <w:tc>
          <w:tcPr>
            <w:tcW w:type="dxa" w:w="6984"/>
          </w:tcPr>
          <w:p>
            <w:pPr>
              <w:spacing w:after="40"/>
            </w:pPr>
            <w:r>
              <w:rPr>
                <w:sz w:val="18"/>
              </w:rPr>
              <w:t>AI-generated summary of the interaction, up to 1024 characters. Where there was too little content to summarize, returns an explanatory sentence rather than NULL.</w:t>
            </w:r>
          </w:p>
        </w:tc>
      </w:tr>
    </w:tbl>
    <w:p/>
    <w:p>
      <w:pPr>
        <w:spacing w:after="20"/>
      </w:pPr>
      <w:r>
        <w:rPr>
          <w:b/>
          <w:sz w:val="21"/>
        </w:rPr>
        <w:t>reporting.aiSentiment: AI sentiment analysis</w:t>
      </w:r>
    </w:p>
    <w:p>
      <w:pPr>
        <w:spacing w:after="80"/>
      </w:pPr>
      <w:r>
        <w:rPr>
          <w:rFonts w:ascii="Consolas" w:hAnsi="Consolas" w:cs="Consolas"/>
          <w:sz w:val="16"/>
        </w:rPr>
        <w:t>Joined on:  queueCDR.queueCallManagerID = aiSentiment.interactionId</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4680"/>
        <w:gridCol w:w="4680"/>
      </w:tblGrid>
      <w:tr>
        <w:trPr>
          <w:cantSplit/>
          <w:tblHeader/>
        </w:trPr>
        <w:tc>
          <w:tcPr>
            <w:tcW w:type="dxa" w:w="2376"/>
            <w:shd w:val="clear" w:fill="F0F0F0"/>
          </w:tcPr>
          <w:p>
            <w:pPr>
              <w:spacing w:after="20"/>
            </w:pPr>
            <w:r>
              <w:rPr>
                <w:b/>
                <w:color w:val="050508"/>
                <w:sz w:val="18"/>
              </w:rPr>
              <w:t>Field</w:t>
            </w:r>
          </w:p>
        </w:tc>
        <w:tc>
          <w:tcPr>
            <w:tcW w:type="dxa" w:w="6984"/>
            <w:shd w:val="clear" w:fill="F0F0F0"/>
          </w:tcPr>
          <w:p>
            <w:pPr>
              <w:spacing w:after="20"/>
            </w:pPr>
            <w:r>
              <w:rPr>
                <w:b/>
                <w:color w:val="050508"/>
                <w:sz w:val="18"/>
              </w:rPr>
              <w:t>Definition</w:t>
            </w:r>
          </w:p>
        </w:tc>
      </w:tr>
      <w:tr>
        <w:trPr>
          <w:cantSplit/>
        </w:trPr>
        <w:tc>
          <w:tcPr>
            <w:tcW w:type="dxa" w:w="2376"/>
          </w:tcPr>
          <w:p>
            <w:pPr>
              <w:spacing w:after="40"/>
            </w:pPr>
            <w:r>
              <w:rPr>
                <w:rFonts w:ascii="Consolas" w:hAnsi="Consolas" w:cs="Consolas"/>
                <w:b/>
                <w:sz w:val="17"/>
              </w:rPr>
              <w:t>score</w:t>
            </w:r>
          </w:p>
        </w:tc>
        <w:tc>
          <w:tcPr>
            <w:tcW w:type="dxa" w:w="6984"/>
          </w:tcPr>
          <w:p>
            <w:pPr>
              <w:spacing w:after="40"/>
            </w:pPr>
            <w:r>
              <w:rPr>
                <w:sz w:val="18"/>
              </w:rPr>
              <w:t>Overall sentiment score for the interaction, on a scale of 0 to 1.</w:t>
            </w:r>
          </w:p>
        </w:tc>
      </w:tr>
      <w:tr>
        <w:trPr>
          <w:cantSplit/>
        </w:trPr>
        <w:tc>
          <w:tcPr>
            <w:tcW w:type="dxa" w:w="2376"/>
            <w:shd w:val="clear" w:fill="FAFAFA"/>
          </w:tcPr>
          <w:p>
            <w:pPr>
              <w:spacing w:after="40"/>
            </w:pPr>
            <w:r>
              <w:rPr>
                <w:rFonts w:ascii="Consolas" w:hAnsi="Consolas" w:cs="Consolas"/>
                <w:b/>
                <w:sz w:val="17"/>
              </w:rPr>
              <w:t>label</w:t>
            </w:r>
          </w:p>
        </w:tc>
        <w:tc>
          <w:tcPr>
            <w:tcW w:type="dxa" w:w="6984"/>
            <w:shd w:val="clear" w:fill="FAFAFA"/>
          </w:tcPr>
          <w:p>
            <w:pPr>
              <w:spacing w:after="40"/>
            </w:pPr>
            <w:r>
              <w:rPr>
                <w:sz w:val="18"/>
              </w:rPr>
              <w:t>Human-readable sentiment classification of the interaction, for example Positive.</w:t>
            </w:r>
          </w:p>
        </w:tc>
      </w:tr>
      <w:tr>
        <w:trPr>
          <w:cantSplit/>
        </w:trPr>
        <w:tc>
          <w:tcPr>
            <w:tcW w:type="dxa" w:w="2376"/>
          </w:tcPr>
          <w:p>
            <w:pPr>
              <w:spacing w:after="40"/>
            </w:pPr>
            <w:r>
              <w:rPr>
                <w:rFonts w:ascii="Consolas" w:hAnsi="Consolas" w:cs="Consolas"/>
                <w:b/>
                <w:sz w:val="17"/>
              </w:rPr>
              <w:t>minSentimentScore</w:t>
            </w:r>
          </w:p>
        </w:tc>
        <w:tc>
          <w:tcPr>
            <w:tcW w:type="dxa" w:w="6984"/>
          </w:tcPr>
          <w:p>
            <w:pPr>
              <w:spacing w:after="40"/>
            </w:pPr>
            <w:r>
              <w:rPr>
                <w:sz w:val="18"/>
              </w:rPr>
              <w:t>The lowest sentiment score reached during the interaction, on a scale of 0 to 1.</w:t>
            </w:r>
          </w:p>
        </w:tc>
      </w:tr>
      <w:tr>
        <w:trPr>
          <w:cantSplit/>
        </w:trPr>
        <w:tc>
          <w:tcPr>
            <w:tcW w:type="dxa" w:w="2376"/>
            <w:shd w:val="clear" w:fill="FAFAFA"/>
          </w:tcPr>
          <w:p>
            <w:pPr>
              <w:spacing w:after="40"/>
            </w:pPr>
            <w:r>
              <w:rPr>
                <w:rFonts w:ascii="Consolas" w:hAnsi="Consolas" w:cs="Consolas"/>
                <w:b/>
                <w:sz w:val="17"/>
              </w:rPr>
              <w:t>maxSentimentScore</w:t>
            </w:r>
          </w:p>
        </w:tc>
        <w:tc>
          <w:tcPr>
            <w:tcW w:type="dxa" w:w="6984"/>
            <w:shd w:val="clear" w:fill="FAFAFA"/>
          </w:tcPr>
          <w:p>
            <w:pPr>
              <w:spacing w:after="40"/>
            </w:pPr>
            <w:r>
              <w:rPr>
                <w:sz w:val="18"/>
              </w:rPr>
              <w:t>The highest sentiment score reached during the interaction, on a scale of 0 to 1.</w:t>
            </w:r>
          </w:p>
        </w:tc>
      </w:tr>
      <w:tr>
        <w:trPr>
          <w:cantSplit/>
        </w:trPr>
        <w:tc>
          <w:tcPr>
            <w:tcW w:type="dxa" w:w="2376"/>
          </w:tcPr>
          <w:p>
            <w:pPr>
              <w:spacing w:after="40"/>
            </w:pPr>
            <w:r>
              <w:rPr>
                <w:rFonts w:ascii="Consolas" w:hAnsi="Consolas" w:cs="Consolas"/>
                <w:b/>
                <w:sz w:val="17"/>
              </w:rPr>
              <w:t>negativePercentage</w:t>
            </w:r>
          </w:p>
        </w:tc>
        <w:tc>
          <w:tcPr>
            <w:tcW w:type="dxa" w:w="6984"/>
          </w:tcPr>
          <w:p>
            <w:pPr>
              <w:spacing w:after="40"/>
            </w:pPr>
            <w:r>
              <w:rPr>
                <w:sz w:val="18"/>
              </w:rPr>
              <w:t>The percentage of the interaction classified as negative, on a scale of 0 to 100.</w:t>
            </w:r>
          </w:p>
        </w:tc>
      </w:tr>
      <w:tr>
        <w:trPr>
          <w:cantSplit/>
        </w:trPr>
        <w:tc>
          <w:tcPr>
            <w:tcW w:type="dxa" w:w="2376"/>
            <w:shd w:val="clear" w:fill="FAFAFA"/>
          </w:tcPr>
          <w:p>
            <w:pPr>
              <w:spacing w:after="40"/>
            </w:pPr>
            <w:r>
              <w:rPr>
                <w:rFonts w:ascii="Consolas" w:hAnsi="Consolas" w:cs="Consolas"/>
                <w:b/>
                <w:sz w:val="17"/>
              </w:rPr>
              <w:t>neutralPercentage</w:t>
            </w:r>
          </w:p>
        </w:tc>
        <w:tc>
          <w:tcPr>
            <w:tcW w:type="dxa" w:w="6984"/>
            <w:shd w:val="clear" w:fill="FAFAFA"/>
          </w:tcPr>
          <w:p>
            <w:pPr>
              <w:spacing w:after="40"/>
            </w:pPr>
            <w:r>
              <w:rPr>
                <w:sz w:val="18"/>
              </w:rPr>
              <w:t>The percentage of the interaction classified as neutral, on a scale of 0 to 100.</w:t>
            </w:r>
          </w:p>
        </w:tc>
      </w:tr>
      <w:tr>
        <w:trPr>
          <w:cantSplit/>
        </w:trPr>
        <w:tc>
          <w:tcPr>
            <w:tcW w:type="dxa" w:w="2376"/>
          </w:tcPr>
          <w:p>
            <w:pPr>
              <w:spacing w:after="40"/>
            </w:pPr>
            <w:r>
              <w:rPr>
                <w:rFonts w:ascii="Consolas" w:hAnsi="Consolas" w:cs="Consolas"/>
                <w:b/>
                <w:sz w:val="17"/>
              </w:rPr>
              <w:t>positivePercentage</w:t>
            </w:r>
          </w:p>
        </w:tc>
        <w:tc>
          <w:tcPr>
            <w:tcW w:type="dxa" w:w="6984"/>
          </w:tcPr>
          <w:p>
            <w:pPr>
              <w:spacing w:after="40"/>
            </w:pPr>
            <w:r>
              <w:rPr>
                <w:sz w:val="18"/>
              </w:rPr>
              <w:t>The percentage of the interaction classified as positive, on a scale of 0 to 100. The three percentages sum to 100.</w:t>
            </w:r>
          </w:p>
        </w:tc>
      </w:tr>
    </w:tbl>
    <w:p/>
    <w:p>
      <w:pPr>
        <w:spacing w:after="20"/>
      </w:pPr>
      <w:r>
        <w:rPr>
          <w:b/>
          <w:sz w:val="21"/>
        </w:rPr>
        <w:t>logic.logic: Logic+ IVR detail record</w:t>
      </w:r>
    </w:p>
    <w:p>
      <w:pPr>
        <w:spacing w:after="80"/>
      </w:pPr>
      <w:r>
        <w:rPr>
          <w:rFonts w:ascii="Consolas" w:hAnsi="Consolas" w:cs="Consolas"/>
          <w:sz w:val="16"/>
        </w:rPr>
        <w:t>Joined on:  queueCDR.interactionId = logic.logic.interactionId</w:t>
      </w:r>
    </w:p>
    <w:tbl>
      <w:tblPr>
        <w:tblStyle w:val="TableGrid"/>
        <w:tblW w:type="dxa" w:w="9360"/>
        <w:jc w:val="lef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firstColumn="1" w:firstRow="1" w:lastColumn="0" w:lastRow="0" w:noHBand="0" w:noVBand="1" w:val="04A0"/>
      </w:tblPr>
      <w:tblGrid>
        <w:gridCol w:w="4680"/>
        <w:gridCol w:w="4680"/>
      </w:tblGrid>
      <w:tr>
        <w:trPr>
          <w:cantSplit/>
          <w:tblHeader/>
        </w:trPr>
        <w:tc>
          <w:tcPr>
            <w:tcW w:type="dxa" w:w="2376"/>
            <w:shd w:val="clear" w:fill="F0F0F0"/>
          </w:tcPr>
          <w:p>
            <w:pPr>
              <w:spacing w:after="20"/>
            </w:pPr>
            <w:r>
              <w:rPr>
                <w:b/>
                <w:color w:val="050508"/>
                <w:sz w:val="18"/>
              </w:rPr>
              <w:t>Field</w:t>
            </w:r>
          </w:p>
        </w:tc>
        <w:tc>
          <w:tcPr>
            <w:tcW w:type="dxa" w:w="6984"/>
            <w:shd w:val="clear" w:fill="F0F0F0"/>
          </w:tcPr>
          <w:p>
            <w:pPr>
              <w:spacing w:after="20"/>
            </w:pPr>
            <w:r>
              <w:rPr>
                <w:b/>
                <w:color w:val="050508"/>
                <w:sz w:val="18"/>
              </w:rPr>
              <w:t>Definition</w:t>
            </w:r>
          </w:p>
        </w:tc>
      </w:tr>
      <w:tr>
        <w:trPr>
          <w:cantSplit/>
        </w:trPr>
        <w:tc>
          <w:tcPr>
            <w:tcW w:type="dxa" w:w="2376"/>
          </w:tcPr>
          <w:p>
            <w:pPr>
              <w:spacing w:after="40"/>
            </w:pPr>
            <w:r>
              <w:rPr>
                <w:rFonts w:ascii="Consolas" w:hAnsi="Consolas" w:cs="Consolas"/>
                <w:b/>
                <w:sz w:val="17"/>
              </w:rPr>
              <w:t>panelPath</w:t>
            </w:r>
          </w:p>
        </w:tc>
        <w:tc>
          <w:tcPr>
            <w:tcW w:type="dxa" w:w="6984"/>
          </w:tcPr>
          <w:p>
            <w:pPr>
              <w:spacing w:after="40"/>
            </w:pPr>
            <w:r>
              <w:rPr>
                <w:sz w:val="18"/>
              </w:rPr>
              <w:t>The ordered path of panels the interaction traveled through the Logic+ flow, formatted as Panel A -&gt; Panel B -&gt; Panel C. Truncated at 255 characters, so long journeys are cut off.</w:t>
            </w:r>
          </w:p>
        </w:tc>
      </w:tr>
      <w:tr>
        <w:trPr>
          <w:cantSplit/>
        </w:trPr>
        <w:tc>
          <w:tcPr>
            <w:tcW w:type="dxa" w:w="2376"/>
            <w:shd w:val="clear" w:fill="FAFAFA"/>
          </w:tcPr>
          <w:p>
            <w:pPr>
              <w:spacing w:after="40"/>
            </w:pPr>
            <w:r>
              <w:rPr>
                <w:rFonts w:ascii="Consolas" w:hAnsi="Consolas" w:cs="Consolas"/>
                <w:b/>
                <w:sz w:val="17"/>
              </w:rPr>
              <w:t>startTime</w:t>
            </w:r>
          </w:p>
        </w:tc>
        <w:tc>
          <w:tcPr>
            <w:tcW w:type="dxa" w:w="6984"/>
            <w:shd w:val="clear" w:fill="FAFAFA"/>
          </w:tcPr>
          <w:p>
            <w:pPr>
              <w:spacing w:after="40"/>
            </w:pPr>
            <w:r>
              <w:rPr>
                <w:sz w:val="18"/>
              </w:rPr>
              <w:t>When the Logic+ flow began, to millisecond precision. This precedes queueCDR.startTime, and the difference between them is the time spent in the IVR.</w:t>
            </w:r>
          </w:p>
        </w:tc>
      </w:tr>
      <w:tr>
        <w:trPr>
          <w:cantSplit/>
        </w:trPr>
        <w:tc>
          <w:tcPr>
            <w:tcW w:type="dxa" w:w="2376"/>
          </w:tcPr>
          <w:p>
            <w:pPr>
              <w:spacing w:after="40"/>
            </w:pPr>
            <w:r>
              <w:rPr>
                <w:rFonts w:ascii="Consolas" w:hAnsi="Consolas" w:cs="Consolas"/>
                <w:b/>
                <w:sz w:val="17"/>
              </w:rPr>
              <w:t>endTime</w:t>
            </w:r>
          </w:p>
        </w:tc>
        <w:tc>
          <w:tcPr>
            <w:tcW w:type="dxa" w:w="6984"/>
          </w:tcPr>
          <w:p>
            <w:pPr>
              <w:spacing w:after="40"/>
            </w:pPr>
            <w:r>
              <w:rPr>
                <w:sz w:val="18"/>
              </w:rPr>
              <w:t>When the Logic+ flow ended, to millisecond precision. This coincides with the moment the interaction entered the queue.</w:t>
            </w:r>
          </w:p>
        </w:tc>
      </w:tr>
      <w:tr>
        <w:trPr>
          <w:cantSplit/>
        </w:trPr>
        <w:tc>
          <w:tcPr>
            <w:tcW w:type="dxa" w:w="2376"/>
            <w:shd w:val="clear" w:fill="FAFAFA"/>
          </w:tcPr>
          <w:p>
            <w:pPr>
              <w:spacing w:after="40"/>
            </w:pPr>
            <w:r>
              <w:rPr>
                <w:rFonts w:ascii="Consolas" w:hAnsi="Consolas" w:cs="Consolas"/>
                <w:b/>
                <w:sz w:val="17"/>
              </w:rPr>
              <w:t>interactionVars</w:t>
            </w:r>
          </w:p>
        </w:tc>
        <w:tc>
          <w:tcPr>
            <w:tcW w:type="dxa" w:w="6984"/>
            <w:shd w:val="clear" w:fill="FAFAFA"/>
          </w:tcPr>
          <w:p>
            <w:pPr>
              <w:spacing w:after="40"/>
            </w:pPr>
            <w:r>
              <w:rPr>
                <w:sz w:val="18"/>
              </w:rPr>
              <w:t>The variables collected during the Logic+ flow, as a JSON object, including the caller’s ANI, the dialled number, any menu selections captured, and the raw SIP headers. Values longer than 10,000 characters are truncated by the platform, which can produce malformed JSON.</w:t>
            </w:r>
          </w:p>
        </w:tc>
      </w:tr>
      <w:tr>
        <w:trPr>
          <w:cantSplit/>
        </w:trPr>
        <w:tc>
          <w:tcPr>
            <w:tcW w:type="dxa" w:w="2376"/>
          </w:tcPr>
          <w:p>
            <w:pPr>
              <w:spacing w:after="40"/>
            </w:pPr>
            <w:r>
              <w:rPr>
                <w:rFonts w:ascii="Consolas" w:hAnsi="Consolas" w:cs="Consolas"/>
                <w:b/>
                <w:sz w:val="17"/>
              </w:rPr>
              <w:t>customDisposition</w:t>
            </w:r>
          </w:p>
        </w:tc>
        <w:tc>
          <w:tcPr>
            <w:tcW w:type="dxa" w:w="6984"/>
          </w:tcPr>
          <w:p>
            <w:pPr>
              <w:spacing w:after="40"/>
            </w:pPr>
            <w:r>
              <w:rPr>
                <w:sz w:val="18"/>
              </w:rPr>
              <w:t>A disposition value set explicitly within the Logic+ flow. NULL where the flow did not set one.</w:t>
            </w:r>
          </w:p>
        </w:tc>
      </w:tr>
      <w:tr>
        <w:trPr>
          <w:cantSplit/>
        </w:trPr>
        <w:tc>
          <w:tcPr>
            <w:tcW w:type="dxa" w:w="2376"/>
            <w:shd w:val="clear" w:fill="FAFAFA"/>
          </w:tcPr>
          <w:p>
            <w:pPr>
              <w:spacing w:after="40"/>
            </w:pPr>
            <w:r>
              <w:rPr>
                <w:rFonts w:ascii="Consolas" w:hAnsi="Consolas" w:cs="Consolas"/>
                <w:b/>
                <w:sz w:val="17"/>
              </w:rPr>
              <w:t>numPanelsExecuted</w:t>
            </w:r>
          </w:p>
        </w:tc>
        <w:tc>
          <w:tcPr>
            <w:tcW w:type="dxa" w:w="6984"/>
            <w:shd w:val="clear" w:fill="FAFAFA"/>
          </w:tcPr>
          <w:p>
            <w:pPr>
              <w:spacing w:after="40"/>
            </w:pPr>
            <w:r>
              <w:rPr>
                <w:sz w:val="18"/>
              </w:rPr>
              <w:t>The number of Logic+ panels executed during the interaction.</w:t>
            </w:r>
          </w:p>
        </w:tc>
      </w:tr>
    </w:tbl>
    <w:p/>
    <w:tbl>
      <w:tblPr>
        <w:tblW w:type="dxa" w:w="9360"/>
        <w:jc w:val="left"/>
        <w:tblBorders>
          <w:top w:val="single" w:sz="4" w:space="0" w:color="BAC0CE"/>
          <w:left w:val="single" w:sz="4" w:space="0" w:color="BAC0CE"/>
          <w:bottom w:val="single" w:sz="4" w:space="0" w:color="BAC0CE"/>
          <w:right w:val="single" w:sz="4" w:space="0" w:color="BAC0CE"/>
          <w:insideH w:val="single" w:sz="4" w:space="0" w:color="BAC0CE"/>
          <w:insideV w:val="single" w:sz="4" w:space="0" w:color="BAC0CE"/>
        </w:tblBorders>
        <w:tblLayout w:type="fixed"/>
        <w:tblLook w:firstColumn="1" w:firstRow="1" w:lastColumn="0" w:lastRow="0" w:noHBand="0" w:noVBand="1" w:val="04A0"/>
      </w:tblPr>
      <w:tblGrid>
        <w:gridCol w:w="9360"/>
      </w:tblGrid>
      <w:tr>
        <w:trPr>
          <w:cantSplit/>
        </w:trPr>
        <w:tc>
          <w:tcPr>
            <w:tcW w:type="dxa" w:w="9360"/>
            <w:shd w:val="clear" w:fill="F7F8F2"/>
          </w:tcPr>
          <w:p>
            <w:r>
              <w:rPr>
                <w:sz w:val="19"/>
              </w:rPr>
              <w:t>Outbound and non-IVR interactions have no Logic+ record, so every logic.logic field returns NULL for them. The same applies to the sentiment, summary and CSAT tables where the relevant feature did not run for that interaction. This is expected behavior rather than missing data.</w:t>
            </w:r>
          </w:p>
        </w:tc>
      </w:tr>
    </w:tbl>
    <w:p/>
    <w:p>
      <w:r>
        <w:br w:type="page"/>
      </w:r>
    </w:p>
    <w:p>
      <w:pPr>
        <w:pStyle w:val="Heading1"/>
        <w:pBdr>
          <w:bottom w:val="single" w:sz="8" w:space="4" w:color="BAC0CE"/>
        </w:pBdr>
      </w:pPr>
      <w:r>
        <w:rPr>
          <w:rFonts w:ascii="Helvetica Neue" w:hAnsi="Helvetica Neue" w:cs="Helvetica Neue"/>
          <w:color w:val="050508"/>
        </w:rPr>
        <w:t>8.  Standard contact center measures</w:t>
      </w:r>
    </w:p>
    <w:p>
      <w:pPr>
        <w:spacing w:after="120"/>
      </w:pPr>
      <w:r>
        <w:rPr>
          <w:b w:val="0"/>
          <w:i/>
          <w:sz w:val="19"/>
        </w:rPr>
        <w:t>These measures are calculated from the queueCDRLegs columns above. Reproducing Sharpen’s reported figures requires using these definitions exactly. All are evaluated per segment, so a single interaction can contribute more than once.</w:t>
      </w:r>
    </w:p>
    <w:p>
      <w:pPr>
        <w:spacing w:after="40"/>
      </w:pPr>
      <w:r>
        <w:rPr>
          <w:b/>
          <w:sz w:val="22"/>
        </w:rPr>
        <w:t>Q Offered</w:t>
      </w:r>
    </w:p>
    <w:p>
      <w:pPr>
        <w:spacing w:after="80"/>
      </w:pPr>
      <w:r>
        <w:rPr>
          <w:b w:val="0"/>
          <w:i w:val="0"/>
          <w:sz w:val="19"/>
        </w:rPr>
        <w:t>Counts interaction segments that have uniquely entered a queue. This may result in an answered, abandoned or flow-out interaction. Callbacks are considered answered once handled. An interaction that hits a max-wait condition and moves to a second queue counts as two Q Offered.</w:t>
      </w:r>
    </w:p>
    <w:tbl>
      <w:tblPr>
        <w:tblW w:type="dxa" w:w="9360"/>
        <w:jc w:val="left"/>
        <w:tblBorders>
          <w:top w:val="single" w:sz="4" w:space="0" w:color="BAC0CE"/>
          <w:left w:val="single" w:sz="4" w:space="0" w:color="BAC0CE"/>
          <w:bottom w:val="single" w:sz="4" w:space="0" w:color="BAC0CE"/>
          <w:right w:val="single" w:sz="4" w:space="0" w:color="BAC0CE"/>
          <w:insideH w:val="single" w:sz="4" w:space="0" w:color="BAC0CE"/>
          <w:insideV w:val="single" w:sz="4" w:space="0" w:color="BAC0CE"/>
        </w:tblBorders>
        <w:tblLayout w:type="fixed"/>
        <w:tblLook w:firstColumn="1" w:firstRow="1" w:lastColumn="0" w:lastRow="0" w:noHBand="0" w:noVBand="1" w:val="04A0"/>
      </w:tblPr>
      <w:tblGrid>
        <w:gridCol w:w="9360"/>
      </w:tblGrid>
      <w:tr>
        <w:trPr>
          <w:cantSplit/>
        </w:trPr>
        <w:tc>
          <w:tcPr>
            <w:tcW w:type="dxa" w:w="9360"/>
            <w:shd w:val="clear" w:fill="F7F8F2"/>
          </w:tcPr>
          <w:p>
            <w:r>
              <w:rPr>
                <w:rFonts w:ascii="Consolas" w:hAnsi="Consolas" w:cs="Consolas"/>
                <w:sz w:val="15"/>
              </w:rPr>
              <w:t>SUM(CASE WHEN (queueID != "" AND (answerTime != endTime OR (answerTime IS NULL AND endTime IS NOT NULL)</w:t>
              <w:br/>
              <w:t xml:space="preserve">  OR (answerTime = endTime AND waitTime &gt; 0)) AND (commType != "phoneCall"</w:t>
              <w:br/>
              <w:t xml:space="preserve">  AND (transferType != "callback" OR transferType IS NULL)))</w:t>
              <w:br/>
              <w:t xml:space="preserve">  OR (queueID != "" AND transferType = "exitNoAgen") THEN 1 ELSE 0 END)</w:t>
            </w:r>
          </w:p>
        </w:tc>
      </w:tr>
    </w:tbl>
    <w:p/>
    <w:p>
      <w:pPr>
        <w:spacing w:after="40"/>
      </w:pPr>
      <w:r>
        <w:rPr>
          <w:b/>
          <w:sz w:val="22"/>
        </w:rPr>
        <w:t>Answered</w:t>
      </w:r>
    </w:p>
    <w:p>
      <w:pPr>
        <w:spacing w:after="80"/>
      </w:pPr>
      <w:r>
        <w:rPr>
          <w:b w:val="0"/>
          <w:i w:val="0"/>
          <w:sz w:val="19"/>
        </w:rPr>
        <w:t>A segment that has an answer time and an associated user. Because it contributes to Q Offered, it can occur more than once for a single Queue Call Manager ID where transfers are involved.</w:t>
      </w:r>
    </w:p>
    <w:tbl>
      <w:tblPr>
        <w:tblW w:type="dxa" w:w="9360"/>
        <w:jc w:val="left"/>
        <w:tblBorders>
          <w:top w:val="single" w:sz="4" w:space="0" w:color="BAC0CE"/>
          <w:left w:val="single" w:sz="4" w:space="0" w:color="BAC0CE"/>
          <w:bottom w:val="single" w:sz="4" w:space="0" w:color="BAC0CE"/>
          <w:right w:val="single" w:sz="4" w:space="0" w:color="BAC0CE"/>
          <w:insideH w:val="single" w:sz="4" w:space="0" w:color="BAC0CE"/>
          <w:insideV w:val="single" w:sz="4" w:space="0" w:color="BAC0CE"/>
        </w:tblBorders>
        <w:tblLayout w:type="fixed"/>
        <w:tblLook w:firstColumn="1" w:firstRow="1" w:lastColumn="0" w:lastRow="0" w:noHBand="0" w:noVBand="1" w:val="04A0"/>
      </w:tblPr>
      <w:tblGrid>
        <w:gridCol w:w="9360"/>
      </w:tblGrid>
      <w:tr>
        <w:trPr>
          <w:cantSplit/>
        </w:trPr>
        <w:tc>
          <w:tcPr>
            <w:tcW w:type="dxa" w:w="9360"/>
            <w:shd w:val="clear" w:fill="F7F8F2"/>
          </w:tcPr>
          <w:p>
            <w:r>
              <w:rPr>
                <w:rFonts w:ascii="Consolas" w:hAnsi="Consolas" w:cs="Consolas"/>
                <w:sz w:val="15"/>
              </w:rPr>
              <w:t>SUM(CASE WHEN answerTime IS NOT NULL AND answerTime != endTime AND username != ""</w:t>
              <w:br/>
              <w:t xml:space="preserve">  AND (agentTalkTime + agentHoldTime + wrapup) &gt; 0 AND commType != "phoneCall" THEN 1 ELSE 0 END)</w:t>
            </w:r>
          </w:p>
        </w:tc>
      </w:tr>
    </w:tbl>
    <w:p/>
    <w:p>
      <w:pPr>
        <w:spacing w:after="40"/>
      </w:pPr>
      <w:r>
        <w:rPr>
          <w:b/>
          <w:sz w:val="22"/>
        </w:rPr>
        <w:t>Abandoned</w:t>
      </w:r>
    </w:p>
    <w:p>
      <w:pPr>
        <w:spacing w:after="80"/>
      </w:pPr>
      <w:r>
        <w:rPr>
          <w:b w:val="0"/>
          <w:i w:val="0"/>
          <w:sz w:val="19"/>
        </w:rPr>
        <w:t>A segment that entered a queue but was ultimately not answered, because the caller disconnected while waiting. Only live interaction types can abandon, and only interactions with a wait time can abandon.</w:t>
      </w:r>
    </w:p>
    <w:tbl>
      <w:tblPr>
        <w:tblW w:type="dxa" w:w="9360"/>
        <w:jc w:val="left"/>
        <w:tblBorders>
          <w:top w:val="single" w:sz="4" w:space="0" w:color="BAC0CE"/>
          <w:left w:val="single" w:sz="4" w:space="0" w:color="BAC0CE"/>
          <w:bottom w:val="single" w:sz="4" w:space="0" w:color="BAC0CE"/>
          <w:right w:val="single" w:sz="4" w:space="0" w:color="BAC0CE"/>
          <w:insideH w:val="single" w:sz="4" w:space="0" w:color="BAC0CE"/>
          <w:insideV w:val="single" w:sz="4" w:space="0" w:color="BAC0CE"/>
        </w:tblBorders>
        <w:tblLayout w:type="fixed"/>
        <w:tblLook w:firstColumn="1" w:firstRow="1" w:lastColumn="0" w:lastRow="0" w:noHBand="0" w:noVBand="1" w:val="04A0"/>
      </w:tblPr>
      <w:tblGrid>
        <w:gridCol w:w="9360"/>
      </w:tblGrid>
      <w:tr>
        <w:trPr>
          <w:cantSplit/>
        </w:trPr>
        <w:tc>
          <w:tcPr>
            <w:tcW w:type="dxa" w:w="9360"/>
            <w:shd w:val="clear" w:fill="F7F8F2"/>
          </w:tcPr>
          <w:p>
            <w:r>
              <w:rPr>
                <w:rFonts w:ascii="Consolas" w:hAnsi="Consolas" w:cs="Consolas"/>
                <w:sz w:val="15"/>
              </w:rPr>
              <w:t>SUM(CASE WHEN (transfer = 0 AND (agentTalkTime + agentHoldTime + wrapUp) = 0 AND waitTime &gt; 0)</w:t>
              <w:br/>
              <w:t xml:space="preserve">  OR (username != "" AND answerTime = endTime AND waitTime &gt; 0) THEN 1 ELSE 0 END)</w:t>
            </w:r>
          </w:p>
        </w:tc>
      </w:tr>
    </w:tbl>
    <w:p/>
    <w:p>
      <w:pPr>
        <w:spacing w:after="40"/>
      </w:pPr>
      <w:r>
        <w:rPr>
          <w:b/>
          <w:sz w:val="22"/>
        </w:rPr>
        <w:t>Flow Out</w:t>
      </w:r>
    </w:p>
    <w:p>
      <w:pPr>
        <w:spacing w:after="80"/>
      </w:pPr>
      <w:r>
        <w:rPr>
          <w:b w:val="0"/>
          <w:i w:val="0"/>
          <w:sz w:val="19"/>
        </w:rPr>
        <w:t>Segments that entered a queue but were systematically transferred elsewhere, to another queue or to voicemail for example, without ever being assigned to an agent. Most commonly the result of an Exit No Agents or Max Wait configuration. This measure does not include interactions that became callbacks.</w:t>
      </w:r>
    </w:p>
    <w:tbl>
      <w:tblPr>
        <w:tblW w:type="dxa" w:w="9360"/>
        <w:jc w:val="left"/>
        <w:tblBorders>
          <w:top w:val="single" w:sz="4" w:space="0" w:color="BAC0CE"/>
          <w:left w:val="single" w:sz="4" w:space="0" w:color="BAC0CE"/>
          <w:bottom w:val="single" w:sz="4" w:space="0" w:color="BAC0CE"/>
          <w:right w:val="single" w:sz="4" w:space="0" w:color="BAC0CE"/>
          <w:insideH w:val="single" w:sz="4" w:space="0" w:color="BAC0CE"/>
          <w:insideV w:val="single" w:sz="4" w:space="0" w:color="BAC0CE"/>
        </w:tblBorders>
        <w:tblLayout w:type="fixed"/>
        <w:tblLook w:firstColumn="1" w:firstRow="1" w:lastColumn="0" w:lastRow="0" w:noHBand="0" w:noVBand="1" w:val="04A0"/>
      </w:tblPr>
      <w:tblGrid>
        <w:gridCol w:w="9360"/>
      </w:tblGrid>
      <w:tr>
        <w:trPr>
          <w:cantSplit/>
        </w:trPr>
        <w:tc>
          <w:tcPr>
            <w:tcW w:type="dxa" w:w="9360"/>
            <w:shd w:val="clear" w:fill="F7F8F2"/>
          </w:tcPr>
          <w:p>
            <w:r>
              <w:rPr>
                <w:rFonts w:ascii="Consolas" w:hAnsi="Consolas" w:cs="Consolas"/>
                <w:sz w:val="15"/>
              </w:rPr>
              <w:t>SUM(CASE WHEN (transfer = 1 AND transferToData != queueID AND answerTime IS NULL)</w:t>
              <w:br/>
              <w:t xml:space="preserve">  OR (transferToType = "voicemail" AND agentTalkTime = 0)</w:t>
              <w:br/>
              <w:t xml:space="preserve">  OR (transferType = "exitNoAgen" OR transferType = "maxWait") THEN 1 ELSE 0 END)</w:t>
            </w:r>
          </w:p>
        </w:tc>
      </w:tr>
    </w:tbl>
    <w:p/>
    <w:p>
      <w:pPr>
        <w:spacing w:after="40"/>
      </w:pPr>
      <w:r>
        <w:rPr>
          <w:b/>
          <w:sz w:val="22"/>
        </w:rPr>
        <w:t>Callback</w:t>
      </w:r>
    </w:p>
    <w:p>
      <w:pPr>
        <w:spacing w:after="80"/>
      </w:pPr>
      <w:r>
        <w:rPr>
          <w:b w:val="0"/>
          <w:i w:val="0"/>
          <w:sz w:val="19"/>
        </w:rPr>
        <w:t>Callbacks normally produce two segments: the first represents the waiting interaction converting to a callback, and the second the converted callback itself. Although there are two segments, the interaction counts as one callback, and this measure counts only the conversion segment.</w:t>
      </w:r>
    </w:p>
    <w:tbl>
      <w:tblPr>
        <w:tblW w:type="dxa" w:w="9360"/>
        <w:jc w:val="left"/>
        <w:tblBorders>
          <w:top w:val="single" w:sz="4" w:space="0" w:color="BAC0CE"/>
          <w:left w:val="single" w:sz="4" w:space="0" w:color="BAC0CE"/>
          <w:bottom w:val="single" w:sz="4" w:space="0" w:color="BAC0CE"/>
          <w:right w:val="single" w:sz="4" w:space="0" w:color="BAC0CE"/>
          <w:insideH w:val="single" w:sz="4" w:space="0" w:color="BAC0CE"/>
          <w:insideV w:val="single" w:sz="4" w:space="0" w:color="BAC0CE"/>
        </w:tblBorders>
        <w:tblLayout w:type="fixed"/>
        <w:tblLook w:firstColumn="1" w:firstRow="1" w:lastColumn="0" w:lastRow="0" w:noHBand="0" w:noVBand="1" w:val="04A0"/>
      </w:tblPr>
      <w:tblGrid>
        <w:gridCol w:w="9360"/>
      </w:tblGrid>
      <w:tr>
        <w:trPr>
          <w:cantSplit/>
        </w:trPr>
        <w:tc>
          <w:tcPr>
            <w:tcW w:type="dxa" w:w="9360"/>
            <w:shd w:val="clear" w:fill="F7F8F2"/>
          </w:tcPr>
          <w:p>
            <w:r>
              <w:rPr>
                <w:rFonts w:ascii="Consolas" w:hAnsi="Consolas" w:cs="Consolas"/>
                <w:sz w:val="15"/>
              </w:rPr>
              <w:t>SUM(CASE WHEN transferType = "callback" AND commType = "inboundCall" THEN 1 ELSE 0 END)</w:t>
            </w:r>
          </w:p>
        </w:tc>
      </w:tr>
    </w:tbl>
    <w:p/>
    <w:sectPr w:rsidR="00FC693F" w:rsidRPr="0006063C" w:rsidSect="00034616">
      <w:headerReference w:type="default" r:id="rId9"/>
      <w:headerReference w:type="first" r:id="rId10"/>
      <w:footerReference w:type="default" r:id="rId11"/>
      <w:footerReference w:type="first" r:id="rId12"/>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6" w:color="BAC0CE"/>
      </w:pBdr>
      <w:tabs>
        <w:tab w:pos="9360" w:val="right"/>
      </w:tabs>
      <w:jc w:val="left"/>
    </w:pPr>
    <w:r>
      <w:rPr>
        <w:rFonts w:ascii="Helvetica Neue" w:hAnsi="Helvetica Neue" w:cs="Helvetica Neue"/>
        <w:sz w:val="18"/>
      </w:rPr>
      <w:t>Data Dictionary</w:t>
      <w:tab/>
    </w:r>
    <w:fldSimple w:instr=" PAGE ">
      <w:r>
        <w:rPr>
          <w:rFonts w:ascii="Helvetica Neue" w:hAnsi="Helvetica Neue" w:cs="Helvetica Neue"/>
          <w:sz w:val="18"/>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drawing>
        <wp:inline xmlns:a="http://schemas.openxmlformats.org/drawingml/2006/main" xmlns:pic="http://schemas.openxmlformats.org/drawingml/2006/picture">
          <wp:extent cx="1371600" cy="265037"/>
          <wp:docPr id="1" name="Picture 1"/>
          <wp:cNvGraphicFramePr>
            <a:graphicFrameLocks noChangeAspect="1"/>
          </wp:cNvGraphicFramePr>
          <a:graphic>
            <a:graphicData uri="http://schemas.openxmlformats.org/drawingml/2006/picture">
              <pic:pic>
                <pic:nvPicPr>
                  <pic:cNvPr id="0" name="Sharpen_Logo-Lockup_RGB_Black.png"/>
                  <pic:cNvPicPr/>
                </pic:nvPicPr>
                <pic:blipFill>
                  <a:blip r:embed="rId1"/>
                  <a:stretch>
                    <a:fillRect/>
                  </a:stretch>
                </pic:blipFill>
                <pic:spPr>
                  <a:xfrm>
                    <a:off x="0" y="0"/>
                    <a:ext cx="1371600" cy="265037"/>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drawing>
        <wp:inline xmlns:a="http://schemas.openxmlformats.org/drawingml/2006/main" xmlns:pic="http://schemas.openxmlformats.org/drawingml/2006/picture">
          <wp:extent cx="1371600" cy="265037"/>
          <wp:docPr id="1" name="Picture 1"/>
          <wp:cNvGraphicFramePr>
            <a:graphicFrameLocks noChangeAspect="1"/>
          </wp:cNvGraphicFramePr>
          <a:graphic>
            <a:graphicData uri="http://schemas.openxmlformats.org/drawingml/2006/picture">
              <pic:pic>
                <pic:nvPicPr>
                  <pic:cNvPr id="0" name="Sharpen_Logo-Lockup_RGB_Black.png"/>
                  <pic:cNvPicPr/>
                </pic:nvPicPr>
                <pic:blipFill>
                  <a:blip r:embed="rId1"/>
                  <a:stretch>
                    <a:fillRect/>
                  </a:stretch>
                </pic:blipFill>
                <pic:spPr>
                  <a:xfrm>
                    <a:off x="0" y="0"/>
                    <a:ext cx="1371600" cy="265037"/>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Neue" w:hAnsi="Helvetica Neue" w:cs="Helvetica Neue"/>
      <w:color w:val="05050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elvetica Neue" w:hAnsi="Helvetica Neue" w:cs="Helvetica Neue"/>
      <w:b/>
      <w:bCs/>
      <w:i w:val="0"/>
      <w:color w:val="05050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elvetica Neue" w:hAnsi="Helvetica Neue" w:cs="Helvetica Neue"/>
      <w:b/>
      <w:bCs/>
      <w:i w:val="0"/>
      <w:color w:val="05050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Helvetica Neue" w:hAnsi="Helvetica Neue" w:cs="Helvetica Neue"/>
      <w:b/>
      <w:bCs/>
      <w:i w:val="0"/>
      <w:color w:val="05050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Helvetica Neue" w:hAnsi="Helvetica Neue" w:cs="Helvetica Neue"/>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